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70B6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A15C21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857AD6" w:rsidRPr="00857AD6" w:rsidRDefault="00857AD6" w:rsidP="00857AD6">
      <w:pPr>
        <w:ind w:right="4536"/>
        <w:rPr>
          <w:rFonts w:ascii="Times New Roman" w:hAnsi="Times New Roman" w:cs="Times New Roman"/>
          <w:b/>
          <w:sz w:val="24"/>
        </w:rPr>
      </w:pPr>
      <w:r w:rsidRPr="00857AD6">
        <w:rPr>
          <w:rFonts w:ascii="Times New Roman" w:hAnsi="Times New Roman" w:cs="Times New Roman"/>
          <w:b/>
          <w:sz w:val="24"/>
        </w:rPr>
        <w:t>Об утверждении отчета о результатах</w:t>
      </w:r>
      <w:r w:rsidRPr="00857AD6">
        <w:rPr>
          <w:rFonts w:ascii="Times New Roman" w:hAnsi="Times New Roman" w:cs="Times New Roman"/>
          <w:b/>
          <w:sz w:val="24"/>
        </w:rPr>
        <w:br/>
        <w:t>приватизации муниципального</w:t>
      </w:r>
      <w:r w:rsidRPr="00857AD6">
        <w:rPr>
          <w:rFonts w:ascii="Times New Roman" w:hAnsi="Times New Roman" w:cs="Times New Roman"/>
          <w:b/>
          <w:sz w:val="24"/>
        </w:rPr>
        <w:br/>
        <w:t>имущества за 2019 год</w:t>
      </w:r>
    </w:p>
    <w:p w:rsidR="00EC67FD" w:rsidRPr="00EC67FD" w:rsidRDefault="00353732" w:rsidP="00C1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732">
        <w:rPr>
          <w:rFonts w:ascii="Times New Roman" w:hAnsi="Times New Roman" w:cs="Times New Roman"/>
          <w:sz w:val="24"/>
        </w:rPr>
        <w:t xml:space="preserve"> </w:t>
      </w: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D6" w:rsidRPr="00857AD6" w:rsidRDefault="00AE7D20" w:rsidP="00857AD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857AD6" w:rsidRPr="00857AD6">
        <w:rPr>
          <w:rFonts w:ascii="Times New Roman" w:hAnsi="Times New Roman" w:cs="Times New Roman"/>
          <w:sz w:val="24"/>
          <w:szCs w:val="24"/>
        </w:rPr>
        <w:t>соответствии с пунктом 3.10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857AD6" w:rsidRPr="00857AD6" w:rsidRDefault="00B06389" w:rsidP="00857AD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 xml:space="preserve"> </w:t>
      </w:r>
      <w:r w:rsidR="00857AD6" w:rsidRPr="00857AD6">
        <w:rPr>
          <w:rFonts w:ascii="Times New Roman" w:hAnsi="Times New Roman" w:cs="Times New Roman"/>
          <w:sz w:val="24"/>
          <w:szCs w:val="24"/>
        </w:rPr>
        <w:t>1. Утвердить прилагаемый отчет о результатах приватизации муниципального имущества за 2019 год.</w:t>
      </w:r>
    </w:p>
    <w:p w:rsidR="00857AD6" w:rsidRPr="00857AD6" w:rsidRDefault="00857AD6" w:rsidP="00857A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AD6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дня его официального опубликования.</w:t>
      </w:r>
    </w:p>
    <w:p w:rsidR="00857AD6" w:rsidRPr="00857AD6" w:rsidRDefault="00857AD6" w:rsidP="00857AD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AD6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                     на информационных интернет-сайтах Совета депутатов Северодвинска и Администрации Северодвинска.</w:t>
      </w:r>
      <w:r w:rsidRPr="00857AD6">
        <w:rPr>
          <w:rFonts w:ascii="Times New Roman" w:hAnsi="Times New Roman" w:cs="Times New Roman"/>
          <w:sz w:val="24"/>
          <w:szCs w:val="24"/>
        </w:rPr>
        <w:tab/>
      </w:r>
    </w:p>
    <w:p w:rsidR="00857AD6" w:rsidRDefault="00857AD6" w:rsidP="00857AD6">
      <w:pPr>
        <w:rPr>
          <w:sz w:val="24"/>
          <w:szCs w:val="24"/>
          <w:lang w:val="en-US"/>
        </w:rPr>
      </w:pPr>
    </w:p>
    <w:p w:rsidR="00857AD6" w:rsidRPr="00857AD6" w:rsidRDefault="00857AD6" w:rsidP="00857AD6">
      <w:pPr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857AD6" w:rsidRPr="00B06389" w:rsidTr="006E25FC">
        <w:tc>
          <w:tcPr>
            <w:tcW w:w="4857" w:type="dxa"/>
          </w:tcPr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Председатель</w:t>
            </w: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857AD6" w:rsidRPr="00B06389" w:rsidRDefault="00857AD6" w:rsidP="006E25FC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 xml:space="preserve">________________________И.В. </w:t>
            </w:r>
            <w:proofErr w:type="spellStart"/>
            <w:r w:rsidRPr="00B06389">
              <w:rPr>
                <w:sz w:val="24"/>
                <w:szCs w:val="24"/>
              </w:rPr>
              <w:t>Скубенко</w:t>
            </w:r>
            <w:proofErr w:type="spellEnd"/>
            <w:r w:rsidRPr="00B06389">
              <w:rPr>
                <w:sz w:val="24"/>
                <w:szCs w:val="24"/>
              </w:rPr>
              <w:t xml:space="preserve">    </w:t>
            </w:r>
          </w:p>
        </w:tc>
      </w:tr>
    </w:tbl>
    <w:p w:rsidR="00857AD6" w:rsidRDefault="00857AD6" w:rsidP="00857AD6">
      <w:pPr>
        <w:rPr>
          <w:sz w:val="24"/>
          <w:szCs w:val="24"/>
        </w:rPr>
      </w:pPr>
    </w:p>
    <w:p w:rsidR="002026FA" w:rsidRPr="00D14DFF" w:rsidRDefault="002026FA" w:rsidP="002026F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4DFF">
        <w:rPr>
          <w:rFonts w:ascii="Times New Roman" w:hAnsi="Times New Roman" w:cs="Times New Roman"/>
          <w:b/>
        </w:rPr>
        <w:lastRenderedPageBreak/>
        <w:t>Приложение</w:t>
      </w:r>
    </w:p>
    <w:p w:rsidR="002026FA" w:rsidRPr="00D14DFF" w:rsidRDefault="002026FA" w:rsidP="002026F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t>к решению Совета депутатов Северодвинска</w:t>
      </w:r>
    </w:p>
    <w:p w:rsidR="002026FA" w:rsidRPr="002026FA" w:rsidRDefault="002026FA" w:rsidP="002026F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23.04.2020 </w:t>
      </w:r>
      <w:r w:rsidRPr="00202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242</w:t>
      </w:r>
    </w:p>
    <w:p w:rsidR="002026FA" w:rsidRPr="00D14DFF" w:rsidRDefault="002026FA" w:rsidP="002026FA">
      <w:pPr>
        <w:overflowPunct w:val="0"/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</w:rPr>
      </w:pPr>
    </w:p>
    <w:p w:rsidR="002026FA" w:rsidRPr="00D14DFF" w:rsidRDefault="002026FA" w:rsidP="002026FA">
      <w:pPr>
        <w:overflowPunct w:val="0"/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</w:rPr>
      </w:pPr>
    </w:p>
    <w:p w:rsidR="002026FA" w:rsidRPr="00D14DFF" w:rsidRDefault="002026FA" w:rsidP="005B3B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DFF">
        <w:rPr>
          <w:rFonts w:ascii="Times New Roman" w:hAnsi="Times New Roman" w:cs="Times New Roman"/>
          <w:b/>
        </w:rPr>
        <w:t>ОТЧЕТ</w:t>
      </w:r>
    </w:p>
    <w:p w:rsidR="002026FA" w:rsidRPr="00D14DFF" w:rsidRDefault="002026FA" w:rsidP="005B3B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4DFF">
        <w:rPr>
          <w:rFonts w:ascii="Times New Roman" w:hAnsi="Times New Roman" w:cs="Times New Roman"/>
          <w:b/>
        </w:rPr>
        <w:t xml:space="preserve"> </w:t>
      </w:r>
      <w:r w:rsidRPr="00D14DFF">
        <w:rPr>
          <w:rFonts w:ascii="Times New Roman" w:hAnsi="Times New Roman" w:cs="Times New Roman"/>
          <w:b/>
          <w:bCs/>
          <w:iCs/>
        </w:rPr>
        <w:t>о результатах приватизации муниципального имущества за 2019 год</w:t>
      </w:r>
    </w:p>
    <w:p w:rsidR="002026FA" w:rsidRPr="00D14DFF" w:rsidRDefault="002026FA" w:rsidP="002026FA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026FA" w:rsidRPr="005B3BD2" w:rsidRDefault="002026FA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BD2">
        <w:rPr>
          <w:rFonts w:ascii="Times New Roman" w:hAnsi="Times New Roman" w:cs="Times New Roman"/>
          <w:sz w:val="24"/>
          <w:szCs w:val="24"/>
          <w:lang/>
        </w:rPr>
        <w:t>Прогнозный план приватизации муниципального имущества на 201</w:t>
      </w:r>
      <w:r w:rsidRPr="005B3BD2">
        <w:rPr>
          <w:rFonts w:ascii="Times New Roman" w:hAnsi="Times New Roman" w:cs="Times New Roman"/>
          <w:sz w:val="24"/>
          <w:szCs w:val="24"/>
          <w:lang/>
        </w:rPr>
        <w:t>9</w:t>
      </w: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 год и на плановый период 20</w:t>
      </w:r>
      <w:r w:rsidRPr="005B3BD2">
        <w:rPr>
          <w:rFonts w:ascii="Times New Roman" w:hAnsi="Times New Roman" w:cs="Times New Roman"/>
          <w:sz w:val="24"/>
          <w:szCs w:val="24"/>
          <w:lang/>
        </w:rPr>
        <w:t>20</w:t>
      </w: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 и 202</w:t>
      </w:r>
      <w:r w:rsidRPr="005B3BD2">
        <w:rPr>
          <w:rFonts w:ascii="Times New Roman" w:hAnsi="Times New Roman" w:cs="Times New Roman"/>
          <w:sz w:val="24"/>
          <w:szCs w:val="24"/>
          <w:lang/>
        </w:rPr>
        <w:t>1</w:t>
      </w: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 годов утвержден решением Совета депутатов Северодвинска </w:t>
      </w:r>
      <w:r w:rsidRPr="005B3BD2">
        <w:rPr>
          <w:rFonts w:ascii="Times New Roman" w:hAnsi="Times New Roman" w:cs="Times New Roman"/>
          <w:sz w:val="24"/>
          <w:szCs w:val="24"/>
        </w:rPr>
        <w:t>от 25.10.2018 № 114 (в редакции от 28.11.2019)</w:t>
      </w: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 (далее по тексту – </w:t>
      </w:r>
      <w:bookmarkStart w:id="0" w:name="_Hlk35426400"/>
      <w:r w:rsidRPr="005B3BD2">
        <w:rPr>
          <w:rFonts w:ascii="Times New Roman" w:hAnsi="Times New Roman" w:cs="Times New Roman"/>
          <w:sz w:val="24"/>
          <w:szCs w:val="24"/>
          <w:lang/>
        </w:rPr>
        <w:t>Прогнозный план приватизации на 201</w:t>
      </w:r>
      <w:r w:rsidRPr="005B3BD2">
        <w:rPr>
          <w:rFonts w:ascii="Times New Roman" w:hAnsi="Times New Roman" w:cs="Times New Roman"/>
          <w:sz w:val="24"/>
          <w:szCs w:val="24"/>
          <w:lang/>
        </w:rPr>
        <w:t>9</w:t>
      </w: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 год</w:t>
      </w:r>
      <w:bookmarkEnd w:id="0"/>
      <w:r w:rsidRPr="005B3BD2">
        <w:rPr>
          <w:rFonts w:ascii="Times New Roman" w:hAnsi="Times New Roman" w:cs="Times New Roman"/>
          <w:sz w:val="24"/>
          <w:szCs w:val="24"/>
          <w:lang/>
        </w:rPr>
        <w:t>).</w:t>
      </w:r>
    </w:p>
    <w:p w:rsidR="002026FA" w:rsidRPr="005B3BD2" w:rsidRDefault="002026FA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BD2">
        <w:rPr>
          <w:rFonts w:ascii="Times New Roman" w:hAnsi="Times New Roman" w:cs="Times New Roman"/>
          <w:sz w:val="24"/>
          <w:szCs w:val="24"/>
          <w:lang/>
        </w:rPr>
        <w:t>Мероприятия, связанные с осуществлением приватизации муниципального имущества в 201</w:t>
      </w:r>
      <w:r w:rsidRPr="005B3BD2">
        <w:rPr>
          <w:rFonts w:ascii="Times New Roman" w:hAnsi="Times New Roman" w:cs="Times New Roman"/>
          <w:sz w:val="24"/>
          <w:szCs w:val="24"/>
          <w:lang/>
        </w:rPr>
        <w:t>9</w:t>
      </w: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 году, были направлены непосредственно на решение следующих задач:</w:t>
      </w:r>
    </w:p>
    <w:p w:rsidR="002026FA" w:rsidRPr="005B3BD2" w:rsidRDefault="002026FA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BD2">
        <w:rPr>
          <w:rFonts w:ascii="Times New Roman" w:hAnsi="Times New Roman" w:cs="Times New Roman"/>
          <w:sz w:val="24"/>
          <w:szCs w:val="24"/>
          <w:lang/>
        </w:rPr>
        <w:t>- оптимизация муниципальной собственности, не задействованной в обеспечении функций и задач органов местного самоуправления Северодвинска;</w:t>
      </w:r>
    </w:p>
    <w:p w:rsidR="002026FA" w:rsidRPr="005B3BD2" w:rsidRDefault="002026FA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BD2">
        <w:rPr>
          <w:rFonts w:ascii="Times New Roman" w:hAnsi="Times New Roman" w:cs="Times New Roman"/>
          <w:sz w:val="24"/>
          <w:szCs w:val="24"/>
          <w:lang/>
        </w:rPr>
        <w:t>- обеспечение поступления неналоговых доходов в местный бюджет от приватизации муниципального имущества</w:t>
      </w:r>
      <w:r w:rsidRPr="005B3BD2">
        <w:rPr>
          <w:rFonts w:ascii="Times New Roman" w:hAnsi="Times New Roman" w:cs="Times New Roman"/>
          <w:sz w:val="24"/>
          <w:szCs w:val="24"/>
          <w:lang/>
        </w:rPr>
        <w:t>;</w:t>
      </w:r>
    </w:p>
    <w:p w:rsidR="002026FA" w:rsidRPr="005B3BD2" w:rsidRDefault="002026FA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BD2">
        <w:rPr>
          <w:rFonts w:ascii="Times New Roman" w:hAnsi="Times New Roman" w:cs="Times New Roman"/>
          <w:sz w:val="24"/>
          <w:szCs w:val="24"/>
          <w:lang/>
        </w:rPr>
        <w:t>- оказание адресной поддержки малому и среднему бизнесу путем предоставления преимущественного права выкупа субъектами малого и среднего предпринимательства арендуемых ими объектов муниципального недвижимого имущества.</w:t>
      </w:r>
    </w:p>
    <w:p w:rsidR="002026FA" w:rsidRPr="005B3BD2" w:rsidRDefault="002026FA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B3BD2">
        <w:rPr>
          <w:rFonts w:ascii="Times New Roman" w:hAnsi="Times New Roman" w:cs="Times New Roman"/>
          <w:b/>
          <w:sz w:val="24"/>
          <w:szCs w:val="24"/>
          <w:lang/>
        </w:rPr>
        <w:t>1. Выполнение плановых показателей по доходам от приватизации муниципального имущества</w:t>
      </w:r>
    </w:p>
    <w:p w:rsidR="002026FA" w:rsidRPr="005B3BD2" w:rsidRDefault="002026FA" w:rsidP="005B3BD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BD2">
        <w:rPr>
          <w:rFonts w:ascii="Times New Roman" w:hAnsi="Times New Roman" w:cs="Times New Roman"/>
          <w:sz w:val="24"/>
          <w:szCs w:val="24"/>
        </w:rPr>
        <w:t>С учетом всех внесенных изменений в 2019 году приватизации подлежало: 8 объектов недвижимого имущества, в том числе 5 нежилых помещений и 3 отдельно стоящих нежилых здания.</w:t>
      </w:r>
    </w:p>
    <w:p w:rsidR="002026FA" w:rsidRPr="005B3BD2" w:rsidRDefault="002026FA" w:rsidP="005B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BD2">
        <w:rPr>
          <w:rFonts w:ascii="Times New Roman" w:hAnsi="Times New Roman" w:cs="Times New Roman"/>
          <w:sz w:val="24"/>
          <w:szCs w:val="24"/>
        </w:rPr>
        <w:t xml:space="preserve">В 2019 году в Прогнозный план приватизации на 2019 год и на плановый период 2020 и 2021 годов включены акции пяти обществ: </w:t>
      </w:r>
      <w:bookmarkStart w:id="1" w:name="_Hlk35941263"/>
      <w:bookmarkStart w:id="2" w:name="_Hlk35941511"/>
      <w:r w:rsidRPr="005B3BD2"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  <w:bookmarkEnd w:id="1"/>
      <w:r w:rsidRPr="005B3BD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B3BD2">
        <w:rPr>
          <w:rFonts w:ascii="Times New Roman" w:hAnsi="Times New Roman" w:cs="Times New Roman"/>
          <w:sz w:val="24"/>
          <w:szCs w:val="24"/>
        </w:rPr>
        <w:t>«Спорттовары», открытого акционерного общества «Лакомка»,  акционерного общества «Северодвинский завод строительных материалов», открытого акционерного общества «Производственно-комплектовочная база» Северодвинска, открытого акционерного общества «Северодвинский торговый центр «Книжный». В соответствии с решениями Совета депутатов Северодвинска окончание предполагаемого срока приватизации установлено:</w:t>
      </w:r>
    </w:p>
    <w:p w:rsidR="002026FA" w:rsidRPr="005B3BD2" w:rsidRDefault="002026FA" w:rsidP="005B3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BD2">
        <w:rPr>
          <w:rFonts w:ascii="Times New Roman" w:hAnsi="Times New Roman" w:cs="Times New Roman"/>
          <w:sz w:val="24"/>
          <w:szCs w:val="24"/>
        </w:rPr>
        <w:t>- по акциям акционерных обществ «Спорттовары» и «Лакомка» – 4 квартал 2020 года;</w:t>
      </w:r>
      <w:proofErr w:type="gramEnd"/>
    </w:p>
    <w:p w:rsidR="002026FA" w:rsidRPr="005B3BD2" w:rsidRDefault="002026FA" w:rsidP="005B3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BD2">
        <w:rPr>
          <w:rFonts w:ascii="Times New Roman" w:hAnsi="Times New Roman" w:cs="Times New Roman"/>
          <w:sz w:val="24"/>
          <w:szCs w:val="24"/>
        </w:rPr>
        <w:t>- по акциям акционерных обществ «Северодвинский торговый центр «Книжный», «Производственно-комплектовочная база» Северодвинска и «Северодвинский завод строительных материалов» – 4 квартал 2021 года.</w:t>
      </w:r>
    </w:p>
    <w:p w:rsidR="002026FA" w:rsidRPr="005B3BD2" w:rsidRDefault="002026FA" w:rsidP="005B3BD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BD2">
        <w:rPr>
          <w:rFonts w:ascii="Times New Roman" w:hAnsi="Times New Roman" w:cs="Times New Roman"/>
          <w:sz w:val="24"/>
          <w:szCs w:val="24"/>
        </w:rPr>
        <w:t>Во исполнение Прогнозного плана приватизации на 2019 год и в целях завершения мероприятий, начатых в предыдущие годы, в 2019 году реализовано 34 объекта недвижимого муниципального имущества (нежилые помещения и отдельно стоящее нежилое здание) общей площадью 4 783,1 кв. м, в том числе с преимущественным правом приобретения муниципального имущества продано 25 объектов недвижимого  имущества общей площадью 4 455,5 кв. м. Одновременно</w:t>
      </w:r>
      <w:proofErr w:type="gramEnd"/>
      <w:r w:rsidRPr="005B3BD2">
        <w:rPr>
          <w:rFonts w:ascii="Times New Roman" w:hAnsi="Times New Roman" w:cs="Times New Roman"/>
          <w:sz w:val="24"/>
          <w:szCs w:val="24"/>
        </w:rPr>
        <w:t xml:space="preserve"> с продажей отдельно стоящего нежилого здания реализован       один земельный участок общей площадью 10 748,0 кв. м.</w:t>
      </w:r>
    </w:p>
    <w:p w:rsidR="005B3BD2" w:rsidRDefault="005B3BD2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026FA" w:rsidRPr="005B3BD2" w:rsidRDefault="002026FA" w:rsidP="005B3B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Данные по планируемым </w:t>
      </w:r>
      <w:r w:rsidRPr="005B3BD2">
        <w:rPr>
          <w:rFonts w:ascii="Times New Roman" w:hAnsi="Times New Roman" w:cs="Times New Roman"/>
          <w:sz w:val="24"/>
          <w:szCs w:val="24"/>
          <w:lang/>
        </w:rPr>
        <w:t>доходам приведены в таблице № 1</w:t>
      </w:r>
      <w:r w:rsidRPr="005B3BD2">
        <w:rPr>
          <w:rFonts w:ascii="Times New Roman" w:hAnsi="Times New Roman" w:cs="Times New Roman"/>
          <w:sz w:val="24"/>
          <w:szCs w:val="24"/>
          <w:lang/>
        </w:rPr>
        <w:t>.</w:t>
      </w:r>
      <w:r w:rsidRPr="005B3BD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026FA" w:rsidRPr="00D14DFF" w:rsidRDefault="002026FA" w:rsidP="002026FA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highlight w:val="lightGray"/>
        </w:rPr>
      </w:pPr>
    </w:p>
    <w:p w:rsidR="002026FA" w:rsidRPr="00D14DFF" w:rsidRDefault="002026FA" w:rsidP="002026FA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highlight w:val="lightGray"/>
        </w:rPr>
      </w:pPr>
    </w:p>
    <w:p w:rsidR="002026FA" w:rsidRPr="00D14DFF" w:rsidRDefault="002026FA" w:rsidP="002026FA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highlight w:val="lightGray"/>
        </w:rPr>
      </w:pPr>
    </w:p>
    <w:p w:rsidR="002026FA" w:rsidRPr="002026FA" w:rsidRDefault="002026FA" w:rsidP="002026FA">
      <w:pPr>
        <w:overflowPunct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lastRenderedPageBreak/>
        <w:t>Таблица № 1</w:t>
      </w: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2268"/>
        <w:gridCol w:w="2126"/>
        <w:gridCol w:w="2551"/>
        <w:gridCol w:w="2268"/>
      </w:tblGrid>
      <w:tr w:rsidR="002026FA" w:rsidRPr="005B3BD2" w:rsidTr="006E25FC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6E25FC">
            <w:pPr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№</w:t>
            </w:r>
            <w:r w:rsidRPr="005B3BD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B3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3BD2">
              <w:rPr>
                <w:rFonts w:ascii="Times New Roman" w:hAnsi="Times New Roman" w:cs="Times New Roman"/>
              </w:rPr>
              <w:t>/</w:t>
            </w:r>
            <w:proofErr w:type="spellStart"/>
            <w:r w:rsidRPr="005B3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Способ приватизации</w:t>
            </w:r>
          </w:p>
          <w:p w:rsidR="002026FA" w:rsidRPr="005B3BD2" w:rsidRDefault="002026FA" w:rsidP="00DF7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Предполагаемые доходы в 2019 году, тыс. руб.</w:t>
            </w:r>
          </w:p>
        </w:tc>
      </w:tr>
      <w:tr w:rsidR="002026FA" w:rsidRPr="005B3BD2" w:rsidTr="006E25FC">
        <w:trPr>
          <w:trHeight w:val="16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5B3BD2" w:rsidRDefault="002026FA" w:rsidP="006E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5B3BD2" w:rsidRDefault="002026FA" w:rsidP="00DF73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 xml:space="preserve">Прогнозный план приватизации на 2019 год </w:t>
            </w:r>
          </w:p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(решение Совета депутатов Северодвинска             от 25.10.2018 № 114)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Изменения в Прогнозный план приватизации                       на 2019 год</w:t>
            </w:r>
          </w:p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3BD2">
              <w:rPr>
                <w:rFonts w:ascii="Times New Roman" w:hAnsi="Times New Roman" w:cs="Times New Roman"/>
              </w:rPr>
              <w:t>(в редакции решений Совета депутатов Северодвинска</w:t>
            </w:r>
            <w:proofErr w:type="gramEnd"/>
          </w:p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от 27.06.2019 № 177,</w:t>
            </w:r>
          </w:p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от 28.11.2019 № 202)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ВСЕГО</w:t>
            </w:r>
          </w:p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с учетом внесенных изменений в Прогнозный план приватизации          на 2019 год</w:t>
            </w:r>
          </w:p>
        </w:tc>
      </w:tr>
      <w:tr w:rsidR="002026FA" w:rsidRPr="005B3BD2" w:rsidTr="006E25FC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tabs>
                <w:tab w:val="left" w:pos="219"/>
                <w:tab w:val="righ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Всего по объектам недвижимого имущества,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146 394,7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+ 31 434,8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177 829,5</w:t>
            </w:r>
          </w:p>
        </w:tc>
      </w:tr>
      <w:tr w:rsidR="002026FA" w:rsidRPr="005B3BD2" w:rsidTr="006E25FC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tabs>
                <w:tab w:val="left" w:pos="219"/>
                <w:tab w:val="right" w:pos="3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от продажи объектов недвижимого имущества, приватизированного</w:t>
            </w:r>
          </w:p>
          <w:p w:rsidR="002026FA" w:rsidRPr="005B3BD2" w:rsidRDefault="002026FA" w:rsidP="00DF7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в порядке реализации преимущественного права на приобретение арендуемого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126 714,9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+ 10 469,1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137 184,0</w:t>
            </w:r>
          </w:p>
        </w:tc>
      </w:tr>
      <w:tr w:rsidR="002026FA" w:rsidRPr="005B3BD2" w:rsidTr="006E25F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от продажи объектов иными способами приватизации, предусмотренными Федеральным законом</w:t>
            </w:r>
            <w:r w:rsidRPr="005B3BD2">
              <w:rPr>
                <w:rFonts w:ascii="Times New Roman" w:hAnsi="Times New Roman" w:cs="Times New Roman"/>
              </w:rPr>
              <w:br/>
              <w:t>от 21.12.2001 № 178-ФЗ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13 285,3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- 2 766,3*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10 519,0</w:t>
            </w:r>
          </w:p>
        </w:tc>
      </w:tr>
      <w:tr w:rsidR="002026FA" w:rsidRPr="005B3BD2" w:rsidTr="006E25F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от продажи субъектам малого предпринимательства арендуемого муниципального имущества,</w:t>
            </w:r>
            <w:r w:rsidRPr="005B3BD2">
              <w:rPr>
                <w:rFonts w:ascii="Times New Roman" w:hAnsi="Times New Roman" w:cs="Times New Roman"/>
              </w:rPr>
              <w:br/>
              <w:t>не включаемого</w:t>
            </w:r>
            <w:r w:rsidRPr="005B3BD2">
              <w:rPr>
                <w:rFonts w:ascii="Times New Roman" w:hAnsi="Times New Roman" w:cs="Times New Roman"/>
              </w:rPr>
              <w:br/>
              <w:t xml:space="preserve">в Прогнозный план приватизации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6 394,5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+ 23 732,0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30 126,5</w:t>
            </w:r>
          </w:p>
        </w:tc>
      </w:tr>
      <w:tr w:rsidR="002026FA" w:rsidRPr="005B3BD2" w:rsidTr="006E25FC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3BD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Всего по доходам</w:t>
            </w:r>
            <w:r w:rsidRPr="005B3BD2">
              <w:rPr>
                <w:rFonts w:ascii="Times New Roman" w:hAnsi="Times New Roman" w:cs="Times New Roman"/>
              </w:rPr>
              <w:br/>
              <w:t>от продажи земельных участков, на которых расположены объекты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830,7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3BD2">
              <w:rPr>
                <w:rFonts w:ascii="Times New Roman" w:hAnsi="Times New Roman" w:cs="Times New Roman"/>
                <w:bCs/>
              </w:rPr>
              <w:t>+ 25 664,3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3BD2">
              <w:rPr>
                <w:rFonts w:ascii="Times New Roman" w:hAnsi="Times New Roman" w:cs="Times New Roman"/>
                <w:bCs/>
              </w:rPr>
              <w:t>26 495,0</w:t>
            </w:r>
          </w:p>
        </w:tc>
      </w:tr>
      <w:tr w:rsidR="002026FA" w:rsidRPr="005B3BD2" w:rsidTr="006E25FC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3BD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6FA" w:rsidRPr="005B3BD2" w:rsidRDefault="002026FA" w:rsidP="00DF73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Всего поступлений</w:t>
            </w:r>
            <w:r w:rsidRPr="005B3BD2">
              <w:rPr>
                <w:rFonts w:ascii="Times New Roman" w:hAnsi="Times New Roman" w:cs="Times New Roman"/>
              </w:rPr>
              <w:br/>
              <w:t>от продажи акций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BD2">
              <w:rPr>
                <w:rFonts w:ascii="Times New Roman" w:hAnsi="Times New Roman" w:cs="Times New Roman"/>
              </w:rPr>
              <w:t>36 000,0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3BD2">
              <w:rPr>
                <w:rFonts w:ascii="Times New Roman" w:hAnsi="Times New Roman" w:cs="Times New Roman"/>
                <w:bCs/>
              </w:rPr>
              <w:t>+ 31 000,0**</w:t>
            </w:r>
          </w:p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3BD2">
              <w:rPr>
                <w:rFonts w:ascii="Times New Roman" w:hAnsi="Times New Roman" w:cs="Times New Roman"/>
                <w:bCs/>
              </w:rPr>
              <w:t>- 67 000,0***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5B3BD2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3BD2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2026FA" w:rsidRPr="005B3BD2" w:rsidRDefault="002026FA" w:rsidP="002026FA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highlight w:val="lightGray"/>
          <w:lang/>
        </w:rPr>
      </w:pPr>
    </w:p>
    <w:p w:rsidR="002026FA" w:rsidRPr="00DF737C" w:rsidRDefault="002026FA" w:rsidP="002026FA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F737C">
        <w:rPr>
          <w:rFonts w:ascii="Times New Roman" w:hAnsi="Times New Roman" w:cs="Times New Roman"/>
          <w:sz w:val="24"/>
          <w:szCs w:val="24"/>
        </w:rPr>
        <w:t xml:space="preserve">* В целях создания муниципального учреждения с наделением его функциями           по материально-техническому обеспечению деятельности органов местного самоуправления </w:t>
      </w:r>
      <w:r w:rsidRPr="00DF737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Северодвинска из Прогнозного плана приватизации на 2019 год исключено нежилое помещение (подвал) общей площадью 88,1 кв. м, расположенное по адресу:             г. Северодвинск, ул. Карла Маркса, д. 48  </w:t>
      </w:r>
      <w:bookmarkStart w:id="3" w:name="_Hlk35426762"/>
      <w:r w:rsidRPr="00DF737C">
        <w:rPr>
          <w:rFonts w:ascii="Times New Roman" w:hAnsi="Times New Roman" w:cs="Times New Roman"/>
          <w:sz w:val="24"/>
          <w:szCs w:val="24"/>
        </w:rPr>
        <w:t>(решение Совета депутатов Северодвинска            от 27.06.2019 № 177).</w:t>
      </w:r>
      <w:proofErr w:type="gramEnd"/>
    </w:p>
    <w:bookmarkEnd w:id="3"/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737C">
        <w:rPr>
          <w:rFonts w:ascii="Times New Roman" w:hAnsi="Times New Roman" w:cs="Times New Roman"/>
          <w:sz w:val="24"/>
          <w:szCs w:val="24"/>
        </w:rPr>
        <w:t xml:space="preserve">** В </w:t>
      </w:r>
      <w:r w:rsidRPr="00DF737C">
        <w:rPr>
          <w:rFonts w:ascii="Times New Roman" w:hAnsi="Times New Roman" w:cs="Times New Roman"/>
          <w:sz w:val="24"/>
          <w:szCs w:val="24"/>
          <w:lang/>
        </w:rPr>
        <w:t>Прогнозный план приватизации на 201</w:t>
      </w:r>
      <w:r w:rsidRPr="00DF737C">
        <w:rPr>
          <w:rFonts w:ascii="Times New Roman" w:hAnsi="Times New Roman" w:cs="Times New Roman"/>
          <w:sz w:val="24"/>
          <w:szCs w:val="24"/>
          <w:lang/>
        </w:rPr>
        <w:t>9</w:t>
      </w:r>
      <w:r w:rsidRPr="00DF737C">
        <w:rPr>
          <w:rFonts w:ascii="Times New Roman" w:hAnsi="Times New Roman" w:cs="Times New Roman"/>
          <w:sz w:val="24"/>
          <w:szCs w:val="24"/>
          <w:lang/>
        </w:rPr>
        <w:t xml:space="preserve"> год</w:t>
      </w:r>
      <w:r w:rsidRPr="00DF737C">
        <w:rPr>
          <w:rFonts w:ascii="Times New Roman" w:hAnsi="Times New Roman" w:cs="Times New Roman"/>
          <w:sz w:val="24"/>
          <w:szCs w:val="24"/>
          <w:lang/>
        </w:rPr>
        <w:t xml:space="preserve"> включены акции ОАО «Лакомка». </w:t>
      </w:r>
      <w:r w:rsidRPr="00DF737C">
        <w:rPr>
          <w:rFonts w:ascii="Times New Roman" w:hAnsi="Times New Roman" w:cs="Times New Roman"/>
          <w:sz w:val="24"/>
          <w:szCs w:val="24"/>
        </w:rPr>
        <w:t>По предварительным оценкам рыночная стоимость пакета акций общества могла составить около 31 000,0 тыс. руб. (решение Совета депутатов Северодвинска от 27.06.2019 № 177).</w:t>
      </w:r>
    </w:p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7C">
        <w:rPr>
          <w:rFonts w:ascii="Times New Roman" w:hAnsi="Times New Roman" w:cs="Times New Roman"/>
          <w:sz w:val="24"/>
          <w:szCs w:val="24"/>
        </w:rPr>
        <w:t xml:space="preserve">*** Поступления от продажи акций в сумме </w:t>
      </w:r>
      <w:r w:rsidRPr="00DF737C">
        <w:rPr>
          <w:rFonts w:ascii="Times New Roman" w:hAnsi="Times New Roman" w:cs="Times New Roman"/>
          <w:color w:val="000000"/>
          <w:sz w:val="24"/>
          <w:szCs w:val="24"/>
        </w:rPr>
        <w:t>67 000,0 тыс. руб. запланированы                      к получению в 2020 году (решение Совета депутатов Северодвинска от 28.11.2019 № 203).</w:t>
      </w:r>
    </w:p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7C">
        <w:rPr>
          <w:rFonts w:ascii="Times New Roman" w:hAnsi="Times New Roman" w:cs="Times New Roman"/>
          <w:sz w:val="24"/>
          <w:szCs w:val="24"/>
        </w:rPr>
        <w:t>В результате приватизации муниципального имущества в 2019 году в доход местного бюджета поступило:</w:t>
      </w:r>
    </w:p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7C">
        <w:rPr>
          <w:rFonts w:ascii="Times New Roman" w:hAnsi="Times New Roman" w:cs="Times New Roman"/>
          <w:sz w:val="24"/>
          <w:szCs w:val="24"/>
        </w:rPr>
        <w:t>1. От продажи нежилых зданий и помещений 184 382,5 тыс. руб., в том числе:</w:t>
      </w:r>
    </w:p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7C">
        <w:rPr>
          <w:rFonts w:ascii="Times New Roman" w:hAnsi="Times New Roman" w:cs="Times New Roman"/>
          <w:sz w:val="24"/>
          <w:szCs w:val="24"/>
        </w:rPr>
        <w:t>- путем проведения открытых торгов по продаже муниципального имущества                   на сумму 4 997,0 тыс. руб.;</w:t>
      </w:r>
    </w:p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7C">
        <w:rPr>
          <w:rFonts w:ascii="Times New Roman" w:hAnsi="Times New Roman" w:cs="Times New Roman"/>
          <w:sz w:val="24"/>
          <w:szCs w:val="24"/>
        </w:rPr>
        <w:t>- в рамках предоставления преимущественного права выкупа на сумму                       179 385,5 тыс. руб.</w:t>
      </w:r>
    </w:p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7C">
        <w:rPr>
          <w:rFonts w:ascii="Times New Roman" w:hAnsi="Times New Roman" w:cs="Times New Roman"/>
          <w:sz w:val="24"/>
          <w:szCs w:val="24"/>
        </w:rPr>
        <w:t>2. От продажи земельных участков под объектами приватизации – 26 495,0 тыс. руб.</w:t>
      </w:r>
    </w:p>
    <w:p w:rsidR="002026FA" w:rsidRPr="00DF737C" w:rsidRDefault="002026FA" w:rsidP="00DF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7C">
        <w:rPr>
          <w:rFonts w:ascii="Times New Roman" w:hAnsi="Times New Roman" w:cs="Times New Roman"/>
          <w:sz w:val="24"/>
          <w:szCs w:val="24"/>
        </w:rPr>
        <w:t>Итоговые результаты выполнения плановых показателей по доходам от приватизации муниципального имущества в 2019 году приведены в таблице № 2.</w:t>
      </w:r>
    </w:p>
    <w:p w:rsidR="002026FA" w:rsidRPr="005B3BD2" w:rsidRDefault="002026FA" w:rsidP="002026FA">
      <w:pPr>
        <w:ind w:firstLine="709"/>
        <w:jc w:val="right"/>
        <w:rPr>
          <w:rFonts w:ascii="Times New Roman" w:hAnsi="Times New Roman" w:cs="Times New Roman"/>
        </w:rPr>
      </w:pPr>
      <w:r w:rsidRPr="005B3BD2">
        <w:rPr>
          <w:rFonts w:ascii="Times New Roman" w:hAnsi="Times New Roman" w:cs="Times New Roman"/>
        </w:rPr>
        <w:t>Таблица № 2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52"/>
        <w:gridCol w:w="992"/>
        <w:gridCol w:w="992"/>
        <w:gridCol w:w="1276"/>
        <w:gridCol w:w="1276"/>
        <w:gridCol w:w="1417"/>
        <w:gridCol w:w="851"/>
      </w:tblGrid>
      <w:tr w:rsidR="002026FA" w:rsidRPr="00DF737C" w:rsidTr="00DF737C">
        <w:trPr>
          <w:trHeight w:val="377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F737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F737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F737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27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Наименование источника дохода</w:t>
            </w:r>
          </w:p>
        </w:tc>
        <w:tc>
          <w:tcPr>
            <w:tcW w:w="992" w:type="dxa"/>
            <w:vMerge w:val="restart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План 2019 года</w:t>
            </w:r>
          </w:p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 xml:space="preserve">(всего), </w:t>
            </w:r>
          </w:p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Факт</w:t>
            </w:r>
          </w:p>
          <w:p w:rsidR="002026FA" w:rsidRPr="00DF737C" w:rsidRDefault="002026FA" w:rsidP="00DF737C">
            <w:pPr>
              <w:pStyle w:val="21"/>
              <w:ind w:left="0" w:firstLine="29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2019 года (всего),</w:t>
            </w:r>
          </w:p>
          <w:p w:rsidR="002026FA" w:rsidRPr="00DF737C" w:rsidRDefault="002026FA" w:rsidP="00DF737C">
            <w:pPr>
              <w:pStyle w:val="21"/>
              <w:ind w:left="0" w:firstLine="29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gridSpan w:val="2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gridSpan w:val="2"/>
            <w:vAlign w:val="center"/>
          </w:tcPr>
          <w:p w:rsidR="002026FA" w:rsidRPr="00DF737C" w:rsidRDefault="002026FA" w:rsidP="00DF737C">
            <w:pPr>
              <w:pStyle w:val="BodyText2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Отклонение</w:t>
            </w:r>
          </w:p>
          <w:p w:rsidR="002026FA" w:rsidRPr="00DF737C" w:rsidRDefault="002026FA" w:rsidP="00DF737C">
            <w:pPr>
              <w:pStyle w:val="BodyText2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факта от плана</w:t>
            </w:r>
          </w:p>
        </w:tc>
      </w:tr>
      <w:tr w:rsidR="002026FA" w:rsidRPr="00DF737C" w:rsidTr="00DF737C">
        <w:trPr>
          <w:trHeight w:val="1293"/>
        </w:trPr>
        <w:tc>
          <w:tcPr>
            <w:tcW w:w="538" w:type="dxa"/>
            <w:vMerge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026FA" w:rsidRPr="00DF737C" w:rsidRDefault="002026FA" w:rsidP="00DF737C">
            <w:pPr>
              <w:pStyle w:val="21"/>
              <w:ind w:left="0" w:firstLine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35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 xml:space="preserve">по объектам, </w:t>
            </w:r>
            <w:proofErr w:type="spellStart"/>
            <w:proofErr w:type="gramStart"/>
            <w:r w:rsidRPr="00DF737C">
              <w:rPr>
                <w:color w:val="000000"/>
                <w:sz w:val="22"/>
                <w:szCs w:val="22"/>
              </w:rPr>
              <w:t>реализован-ным</w:t>
            </w:r>
            <w:proofErr w:type="spellEnd"/>
            <w:proofErr w:type="gramEnd"/>
          </w:p>
          <w:p w:rsidR="002026FA" w:rsidRPr="00DF737C" w:rsidRDefault="002026FA" w:rsidP="00DF737C">
            <w:pPr>
              <w:pStyle w:val="21"/>
              <w:ind w:left="0" w:firstLine="35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в 2019 году</w:t>
            </w: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35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 xml:space="preserve">по объектам, </w:t>
            </w:r>
            <w:proofErr w:type="spellStart"/>
            <w:proofErr w:type="gramStart"/>
            <w:r w:rsidRPr="00DF737C">
              <w:rPr>
                <w:color w:val="000000"/>
                <w:sz w:val="22"/>
                <w:szCs w:val="22"/>
              </w:rPr>
              <w:t>реализован-ным</w:t>
            </w:r>
            <w:proofErr w:type="spellEnd"/>
            <w:proofErr w:type="gramEnd"/>
            <w:r w:rsidRPr="00DF737C">
              <w:rPr>
                <w:color w:val="000000"/>
                <w:sz w:val="22"/>
                <w:szCs w:val="22"/>
              </w:rPr>
              <w:br/>
              <w:t>до 2019 года</w:t>
            </w:r>
          </w:p>
        </w:tc>
        <w:tc>
          <w:tcPr>
            <w:tcW w:w="1417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в абсолютном выражении</w:t>
            </w:r>
          </w:p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 xml:space="preserve">(рост «+», снижение </w:t>
            </w:r>
            <w:r w:rsidRPr="00DF737C">
              <w:rPr>
                <w:color w:val="000000"/>
                <w:sz w:val="22"/>
                <w:szCs w:val="22"/>
              </w:rPr>
              <w:br/>
              <w:t>«</w:t>
            </w:r>
            <w:proofErr w:type="gramStart"/>
            <w:r w:rsidRPr="00DF737C">
              <w:rPr>
                <w:color w:val="000000"/>
                <w:sz w:val="22"/>
                <w:szCs w:val="22"/>
              </w:rPr>
              <w:t>-»</w:t>
            </w:r>
            <w:proofErr w:type="gramEnd"/>
            <w:r w:rsidRPr="00DF737C">
              <w:rPr>
                <w:color w:val="000000"/>
                <w:sz w:val="22"/>
                <w:szCs w:val="22"/>
              </w:rPr>
              <w:t>),</w:t>
            </w:r>
          </w:p>
          <w:p w:rsidR="002026FA" w:rsidRPr="00DF737C" w:rsidRDefault="002026FA" w:rsidP="00DF737C">
            <w:pPr>
              <w:pStyle w:val="21"/>
              <w:ind w:left="0" w:firstLine="34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34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DF737C">
              <w:rPr>
                <w:color w:val="000000"/>
                <w:sz w:val="22"/>
                <w:szCs w:val="22"/>
              </w:rPr>
              <w:t>в %</w:t>
            </w:r>
          </w:p>
        </w:tc>
      </w:tr>
      <w:tr w:rsidR="002026FA" w:rsidRPr="00DF737C" w:rsidTr="00DF737C">
        <w:trPr>
          <w:trHeight w:val="70"/>
        </w:trPr>
        <w:tc>
          <w:tcPr>
            <w:tcW w:w="538" w:type="dxa"/>
            <w:shd w:val="clear" w:color="auto" w:fill="auto"/>
          </w:tcPr>
          <w:p w:rsidR="002026FA" w:rsidRPr="00DF737C" w:rsidRDefault="002026FA" w:rsidP="00DF737C">
            <w:pPr>
              <w:pStyle w:val="21"/>
              <w:ind w:left="0" w:firstLine="0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026FA" w:rsidRPr="00DF737C" w:rsidRDefault="002026FA" w:rsidP="00DF737C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Всего по доходам</w:t>
            </w:r>
            <w:r w:rsidRPr="00DF737C">
              <w:rPr>
                <w:color w:val="000000"/>
                <w:sz w:val="22"/>
                <w:szCs w:val="22"/>
              </w:rPr>
              <w:br/>
              <w:t>от приватизации муниципального имущества,</w:t>
            </w:r>
            <w:r w:rsidRPr="00DF737C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992" w:type="dxa"/>
            <w:vAlign w:val="center"/>
          </w:tcPr>
          <w:p w:rsidR="002026FA" w:rsidRPr="00DF737C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C">
              <w:rPr>
                <w:rFonts w:ascii="Times New Roman" w:hAnsi="Times New Roman" w:cs="Times New Roman"/>
              </w:rPr>
              <w:t>177 829,5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184 382,5</w:t>
            </w: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35 197,3</w:t>
            </w: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149 185,2</w:t>
            </w:r>
          </w:p>
        </w:tc>
        <w:tc>
          <w:tcPr>
            <w:tcW w:w="1417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  <w:lang w:val="en-US"/>
              </w:rPr>
              <w:t>+ 6 553</w:t>
            </w:r>
            <w:r w:rsidRPr="00DF737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103,7</w:t>
            </w:r>
          </w:p>
        </w:tc>
      </w:tr>
      <w:tr w:rsidR="002026FA" w:rsidRPr="00DF737C" w:rsidTr="00DF737C">
        <w:trPr>
          <w:trHeight w:val="137"/>
        </w:trPr>
        <w:tc>
          <w:tcPr>
            <w:tcW w:w="538" w:type="dxa"/>
            <w:shd w:val="clear" w:color="auto" w:fill="auto"/>
          </w:tcPr>
          <w:p w:rsidR="002026FA" w:rsidRPr="00DF737C" w:rsidRDefault="002026FA" w:rsidP="00DF737C">
            <w:pPr>
              <w:pStyle w:val="21"/>
              <w:ind w:left="0" w:firstLine="0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2026FA" w:rsidRPr="00DF737C" w:rsidRDefault="002026FA" w:rsidP="00DF737C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 xml:space="preserve">от продажи объектов недвижимого имущества, приватизированного </w:t>
            </w:r>
            <w:r w:rsidRPr="00DF737C">
              <w:rPr>
                <w:color w:val="000000"/>
                <w:sz w:val="22"/>
                <w:szCs w:val="22"/>
              </w:rPr>
              <w:br/>
              <w:t>в порядке реализации преимущественного права</w:t>
            </w:r>
            <w:r w:rsidRPr="00DF737C">
              <w:rPr>
                <w:color w:val="000000"/>
                <w:sz w:val="22"/>
                <w:szCs w:val="22"/>
              </w:rPr>
              <w:br/>
              <w:t>на приобретение арендуемого муниципального имущества</w:t>
            </w:r>
          </w:p>
        </w:tc>
        <w:tc>
          <w:tcPr>
            <w:tcW w:w="992" w:type="dxa"/>
            <w:vAlign w:val="center"/>
          </w:tcPr>
          <w:p w:rsidR="002026FA" w:rsidRPr="00DF737C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C">
              <w:rPr>
                <w:rFonts w:ascii="Times New Roman" w:hAnsi="Times New Roman" w:cs="Times New Roman"/>
              </w:rPr>
              <w:t>137 184,0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138 684,5</w:t>
            </w: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138 684,5</w:t>
            </w:r>
          </w:p>
        </w:tc>
        <w:tc>
          <w:tcPr>
            <w:tcW w:w="1417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+ 1 500,5</w:t>
            </w:r>
          </w:p>
        </w:tc>
        <w:tc>
          <w:tcPr>
            <w:tcW w:w="851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DF737C">
              <w:rPr>
                <w:sz w:val="22"/>
                <w:szCs w:val="22"/>
              </w:rPr>
              <w:t>101,1</w:t>
            </w:r>
          </w:p>
        </w:tc>
      </w:tr>
      <w:tr w:rsidR="002026FA" w:rsidRPr="00DF737C" w:rsidTr="00DF737C">
        <w:trPr>
          <w:trHeight w:val="106"/>
        </w:trPr>
        <w:tc>
          <w:tcPr>
            <w:tcW w:w="538" w:type="dxa"/>
            <w:shd w:val="clear" w:color="auto" w:fill="auto"/>
          </w:tcPr>
          <w:p w:rsidR="002026FA" w:rsidRPr="00DF737C" w:rsidRDefault="002026FA" w:rsidP="00DF737C">
            <w:pPr>
              <w:pStyle w:val="21"/>
              <w:ind w:left="0" w:firstLine="0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2026FA" w:rsidRPr="00DF737C" w:rsidRDefault="002026FA" w:rsidP="00DF737C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от продажи объектов способами приватизации, предусмотренными Федеральным законом</w:t>
            </w:r>
            <w:r w:rsidRPr="00DF737C">
              <w:rPr>
                <w:color w:val="000000"/>
                <w:sz w:val="22"/>
                <w:szCs w:val="22"/>
              </w:rPr>
              <w:br/>
              <w:t>от 21.12.2001 № 178-ФЗ</w:t>
            </w:r>
          </w:p>
        </w:tc>
        <w:tc>
          <w:tcPr>
            <w:tcW w:w="992" w:type="dxa"/>
            <w:vAlign w:val="center"/>
          </w:tcPr>
          <w:p w:rsidR="002026FA" w:rsidRPr="00DF737C" w:rsidRDefault="002026FA" w:rsidP="00DF73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C">
              <w:rPr>
                <w:rFonts w:ascii="Times New Roman" w:hAnsi="Times New Roman" w:cs="Times New Roman"/>
              </w:rPr>
              <w:t>10 519,0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4 997,0</w:t>
            </w: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3 145,0</w:t>
            </w:r>
          </w:p>
        </w:tc>
        <w:tc>
          <w:tcPr>
            <w:tcW w:w="1276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F737C">
              <w:rPr>
                <w:color w:val="000000"/>
                <w:sz w:val="22"/>
                <w:szCs w:val="22"/>
              </w:rPr>
              <w:t>1 852,0</w:t>
            </w:r>
          </w:p>
        </w:tc>
        <w:tc>
          <w:tcPr>
            <w:tcW w:w="1417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DF737C">
              <w:rPr>
                <w:sz w:val="22"/>
                <w:szCs w:val="22"/>
              </w:rPr>
              <w:t>- 5 522,0</w:t>
            </w:r>
          </w:p>
        </w:tc>
        <w:tc>
          <w:tcPr>
            <w:tcW w:w="851" w:type="dxa"/>
            <w:vAlign w:val="center"/>
          </w:tcPr>
          <w:p w:rsidR="002026FA" w:rsidRPr="00DF737C" w:rsidRDefault="002026FA" w:rsidP="00DF737C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DF737C">
              <w:rPr>
                <w:sz w:val="22"/>
                <w:szCs w:val="22"/>
              </w:rPr>
              <w:t>47,5</w:t>
            </w:r>
          </w:p>
        </w:tc>
      </w:tr>
      <w:tr w:rsidR="002026FA" w:rsidRPr="00D14DFF" w:rsidTr="00DF737C">
        <w:trPr>
          <w:trHeight w:val="106"/>
        </w:trPr>
        <w:tc>
          <w:tcPr>
            <w:tcW w:w="538" w:type="dxa"/>
            <w:shd w:val="clear" w:color="auto" w:fill="auto"/>
          </w:tcPr>
          <w:p w:rsidR="002026FA" w:rsidRPr="00D14DFF" w:rsidRDefault="002026FA" w:rsidP="006E25FC">
            <w:pPr>
              <w:pStyle w:val="21"/>
              <w:ind w:left="0" w:firstLine="0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2026FA" w:rsidRPr="00D14DFF" w:rsidRDefault="002026FA" w:rsidP="006E25FC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14DFF">
              <w:rPr>
                <w:sz w:val="22"/>
                <w:szCs w:val="22"/>
              </w:rPr>
              <w:t xml:space="preserve">от продажи субъектам малого </w:t>
            </w:r>
            <w:r w:rsidRPr="00D14DFF">
              <w:rPr>
                <w:sz w:val="22"/>
                <w:szCs w:val="22"/>
              </w:rPr>
              <w:lastRenderedPageBreak/>
              <w:t>предпринимательства арендуемого муниципального имущества, не включаемого</w:t>
            </w:r>
            <w:r w:rsidRPr="00D14DFF">
              <w:rPr>
                <w:sz w:val="22"/>
                <w:szCs w:val="22"/>
              </w:rPr>
              <w:br/>
              <w:t>в Прогнозный план приватизации</w:t>
            </w:r>
          </w:p>
        </w:tc>
        <w:tc>
          <w:tcPr>
            <w:tcW w:w="992" w:type="dxa"/>
            <w:vAlign w:val="center"/>
          </w:tcPr>
          <w:p w:rsidR="002026FA" w:rsidRPr="00D14DFF" w:rsidRDefault="002026FA" w:rsidP="006E25FC">
            <w:pPr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lastRenderedPageBreak/>
              <w:t>30 126,5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40 701,0</w:t>
            </w:r>
          </w:p>
        </w:tc>
        <w:tc>
          <w:tcPr>
            <w:tcW w:w="1276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D14DFF">
              <w:rPr>
                <w:sz w:val="22"/>
                <w:szCs w:val="22"/>
              </w:rPr>
              <w:t>32 052,3</w:t>
            </w:r>
          </w:p>
        </w:tc>
        <w:tc>
          <w:tcPr>
            <w:tcW w:w="1276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D14DFF">
              <w:rPr>
                <w:sz w:val="22"/>
                <w:szCs w:val="22"/>
              </w:rPr>
              <w:t>8 648,7</w:t>
            </w:r>
          </w:p>
        </w:tc>
        <w:tc>
          <w:tcPr>
            <w:tcW w:w="1417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D14DFF">
              <w:rPr>
                <w:sz w:val="22"/>
                <w:szCs w:val="22"/>
              </w:rPr>
              <w:t>+ 10 574,5</w:t>
            </w:r>
          </w:p>
        </w:tc>
        <w:tc>
          <w:tcPr>
            <w:tcW w:w="851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D14DFF">
              <w:rPr>
                <w:sz w:val="22"/>
                <w:szCs w:val="22"/>
              </w:rPr>
              <w:t>135,1</w:t>
            </w:r>
          </w:p>
        </w:tc>
      </w:tr>
      <w:tr w:rsidR="002026FA" w:rsidRPr="00D14DFF" w:rsidTr="00DF737C">
        <w:trPr>
          <w:trHeight w:val="90"/>
        </w:trPr>
        <w:tc>
          <w:tcPr>
            <w:tcW w:w="538" w:type="dxa"/>
            <w:shd w:val="clear" w:color="auto" w:fill="auto"/>
          </w:tcPr>
          <w:p w:rsidR="002026FA" w:rsidRPr="00D14DFF" w:rsidRDefault="002026FA" w:rsidP="006E25FC">
            <w:pPr>
              <w:pStyle w:val="21"/>
              <w:ind w:left="0" w:firstLine="0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2026FA" w:rsidRPr="00D14DFF" w:rsidRDefault="002026FA" w:rsidP="006E25FC">
            <w:pPr>
              <w:pStyle w:val="21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Всего по доходам от продажи земельных участков,</w:t>
            </w:r>
            <w:r w:rsidRPr="00D14DFF">
              <w:rPr>
                <w:color w:val="000000"/>
                <w:sz w:val="22"/>
                <w:szCs w:val="22"/>
              </w:rPr>
              <w:br/>
              <w:t>на которых расположены объекты приватизации</w:t>
            </w:r>
          </w:p>
        </w:tc>
        <w:tc>
          <w:tcPr>
            <w:tcW w:w="992" w:type="dxa"/>
            <w:vAlign w:val="center"/>
          </w:tcPr>
          <w:p w:rsidR="002026FA" w:rsidRPr="00D14DFF" w:rsidRDefault="002026FA" w:rsidP="006E25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4DFF">
              <w:rPr>
                <w:rFonts w:ascii="Times New Roman" w:hAnsi="Times New Roman" w:cs="Times New Roman"/>
                <w:bCs/>
              </w:rPr>
              <w:t>26 495,0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26 495,0</w:t>
            </w:r>
          </w:p>
        </w:tc>
        <w:tc>
          <w:tcPr>
            <w:tcW w:w="1276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26 495,0</w:t>
            </w:r>
          </w:p>
        </w:tc>
        <w:tc>
          <w:tcPr>
            <w:tcW w:w="1276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026FA" w:rsidRPr="00D14DFF" w:rsidRDefault="002026FA" w:rsidP="006E25FC">
            <w:pPr>
              <w:pStyle w:val="21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D14DFF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2026FA" w:rsidRPr="00D14DFF" w:rsidRDefault="002026FA" w:rsidP="002026FA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/>
        </w:rPr>
      </w:pPr>
    </w:p>
    <w:p w:rsidR="002026FA" w:rsidRPr="00F55F6D" w:rsidRDefault="002026FA" w:rsidP="00F5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6D">
        <w:rPr>
          <w:rFonts w:ascii="Times New Roman" w:hAnsi="Times New Roman" w:cs="Times New Roman"/>
          <w:sz w:val="24"/>
          <w:szCs w:val="24"/>
        </w:rPr>
        <w:t>Плановые показатели 2019 года по доходам от приватизации муниципального имущества выполнены на 103,7% и от продажи земельных участков, расположенных         под объектами приватизации, – на 100,0%.</w:t>
      </w:r>
    </w:p>
    <w:p w:rsidR="002026FA" w:rsidRPr="00F55F6D" w:rsidRDefault="002026FA" w:rsidP="00F5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6D">
        <w:rPr>
          <w:rFonts w:ascii="Times New Roman" w:hAnsi="Times New Roman" w:cs="Times New Roman"/>
          <w:sz w:val="24"/>
          <w:szCs w:val="24"/>
        </w:rPr>
        <w:t>Перевыполнение плановых показателей по доходам от приватизации муниципального имущества объясняется следующим:</w:t>
      </w:r>
    </w:p>
    <w:p w:rsidR="002026FA" w:rsidRPr="00F55F6D" w:rsidRDefault="002026FA" w:rsidP="00F5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6D">
        <w:rPr>
          <w:rFonts w:ascii="Times New Roman" w:hAnsi="Times New Roman" w:cs="Times New Roman"/>
          <w:sz w:val="24"/>
          <w:szCs w:val="24"/>
        </w:rPr>
        <w:t xml:space="preserve">- покупатели воспользовались правом досрочного погашения оплаты  по договорам купли-продажи муниципального имущества (ИП Ларионова Е.В., ИП </w:t>
      </w:r>
      <w:proofErr w:type="spellStart"/>
      <w:r w:rsidRPr="00F55F6D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F55F6D">
        <w:rPr>
          <w:rFonts w:ascii="Times New Roman" w:hAnsi="Times New Roman" w:cs="Times New Roman"/>
          <w:sz w:val="24"/>
          <w:szCs w:val="24"/>
        </w:rPr>
        <w:t xml:space="preserve"> А.Ю.,              ООО «</w:t>
      </w:r>
      <w:proofErr w:type="spellStart"/>
      <w:r w:rsidRPr="00F55F6D">
        <w:rPr>
          <w:rFonts w:ascii="Times New Roman" w:hAnsi="Times New Roman" w:cs="Times New Roman"/>
          <w:sz w:val="24"/>
          <w:szCs w:val="24"/>
        </w:rPr>
        <w:t>Гелион</w:t>
      </w:r>
      <w:proofErr w:type="spellEnd"/>
      <w:r w:rsidRPr="00F55F6D">
        <w:rPr>
          <w:rFonts w:ascii="Times New Roman" w:hAnsi="Times New Roman" w:cs="Times New Roman"/>
          <w:sz w:val="24"/>
          <w:szCs w:val="24"/>
        </w:rPr>
        <w:t>», ООО «Титан» – 2 договора);</w:t>
      </w:r>
    </w:p>
    <w:p w:rsidR="002026FA" w:rsidRPr="00F55F6D" w:rsidRDefault="002026FA" w:rsidP="00F5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F6D">
        <w:rPr>
          <w:rFonts w:ascii="Times New Roman" w:hAnsi="Times New Roman" w:cs="Times New Roman"/>
          <w:sz w:val="24"/>
          <w:szCs w:val="24"/>
        </w:rPr>
        <w:t>- перечислением в декабре 2019 года платежей по срокам уплаты 2020 года.</w:t>
      </w:r>
    </w:p>
    <w:p w:rsidR="00F55F6D" w:rsidRDefault="00F55F6D" w:rsidP="002026F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2026FA" w:rsidRPr="00D14DFF" w:rsidRDefault="002026FA" w:rsidP="002026F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D14DFF">
        <w:rPr>
          <w:rFonts w:ascii="Times New Roman" w:hAnsi="Times New Roman" w:cs="Times New Roman"/>
          <w:b/>
        </w:rPr>
        <w:t xml:space="preserve">2. Перечень приватизированного в 2019 году муниципального имущества </w:t>
      </w:r>
    </w:p>
    <w:p w:rsidR="002026FA" w:rsidRPr="00D14DFF" w:rsidRDefault="002026FA" w:rsidP="002026FA">
      <w:pPr>
        <w:ind w:firstLine="709"/>
        <w:jc w:val="both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t>В 2019 году реализовано 34 объекта недвижимого муниципального имущества (нежилые помещения и отдельно стоящее нежилое здание). Одновременно с продажей отдельно стоящего нежилого здания реализован земельный участок, на котором   оно расположено.</w:t>
      </w:r>
    </w:p>
    <w:p w:rsidR="002026FA" w:rsidRPr="00D14DFF" w:rsidRDefault="002026FA" w:rsidP="002026F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t>2.1. Перечень приватизированного муниципального недвижимого имущества   в соответствии с Федеральным законом от 21.12.2001 № 178-ФЗ (способ приватизации – продажа муниципального имущества на аукционе и посредством публичного предложения) (таблица № 3):</w:t>
      </w:r>
    </w:p>
    <w:p w:rsidR="002026FA" w:rsidRPr="00D14DFF" w:rsidRDefault="002026FA" w:rsidP="002026FA">
      <w:pPr>
        <w:ind w:firstLine="709"/>
        <w:jc w:val="right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t>Таблица № 3</w:t>
      </w:r>
    </w:p>
    <w:tbl>
      <w:tblPr>
        <w:tblW w:w="9649" w:type="dxa"/>
        <w:tblInd w:w="98" w:type="dxa"/>
        <w:tblLayout w:type="fixed"/>
        <w:tblLook w:val="0000"/>
      </w:tblPr>
      <w:tblGrid>
        <w:gridCol w:w="719"/>
        <w:gridCol w:w="2545"/>
        <w:gridCol w:w="1141"/>
        <w:gridCol w:w="1701"/>
        <w:gridCol w:w="992"/>
        <w:gridCol w:w="1134"/>
        <w:gridCol w:w="1417"/>
        <w:tblGridChange w:id="4">
          <w:tblGrid>
            <w:gridCol w:w="719"/>
            <w:gridCol w:w="2545"/>
            <w:gridCol w:w="1141"/>
            <w:gridCol w:w="1701"/>
            <w:gridCol w:w="992"/>
            <w:gridCol w:w="1134"/>
            <w:gridCol w:w="1417"/>
          </w:tblGrid>
        </w:tblGridChange>
      </w:tblGrid>
      <w:tr w:rsidR="002026FA" w:rsidRPr="00D14DFF" w:rsidTr="0058684A">
        <w:trPr>
          <w:cantSplit/>
          <w:trHeight w:val="2063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D14DFF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№</w:t>
            </w:r>
          </w:p>
          <w:p w:rsidR="002026FA" w:rsidRPr="00D14DFF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D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4DFF">
              <w:rPr>
                <w:rFonts w:ascii="Times New Roman" w:hAnsi="Times New Roman" w:cs="Times New Roman"/>
              </w:rPr>
              <w:t>/</w:t>
            </w:r>
            <w:proofErr w:type="spellStart"/>
            <w:r w:rsidRPr="00D14D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Местонахождение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 xml:space="preserve"> муниципального недвижимого имущества (наименование объекта недвижимого имущества)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Площадь,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Период продажи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(дата заключения договора купли-продажи),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порядок оплаты, способ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Цена сделки по договору купли-продажи</w:t>
            </w:r>
            <w:r w:rsidRPr="00D14DFF">
              <w:rPr>
                <w:rFonts w:ascii="Times New Roman" w:hAnsi="Times New Roman" w:cs="Times New Roman"/>
              </w:rPr>
              <w:br/>
              <w:t>(без НДС),</w:t>
            </w:r>
            <w:r w:rsidRPr="00D14DF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20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DFF">
              <w:rPr>
                <w:rFonts w:ascii="Times New Roman" w:hAnsi="Times New Roman" w:cs="Times New Roman"/>
              </w:rPr>
              <w:t>Заплани</w:t>
            </w:r>
            <w:proofErr w:type="spellEnd"/>
            <w:r w:rsidR="00231420">
              <w:rPr>
                <w:rFonts w:ascii="Times New Roman" w:hAnsi="Times New Roman" w:cs="Times New Roman"/>
              </w:rPr>
              <w:t>-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DFF">
              <w:rPr>
                <w:rFonts w:ascii="Times New Roman" w:hAnsi="Times New Roman" w:cs="Times New Roman"/>
              </w:rPr>
              <w:t>ровано</w:t>
            </w:r>
            <w:proofErr w:type="spellEnd"/>
            <w:r w:rsidRPr="00D14DFF">
              <w:rPr>
                <w:rFonts w:ascii="Times New Roman" w:hAnsi="Times New Roman" w:cs="Times New Roman"/>
              </w:rPr>
              <w:t xml:space="preserve"> к получению в 2019 году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(без НДС),</w:t>
            </w:r>
            <w:r w:rsidRPr="00D14DF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Фактически получено</w:t>
            </w:r>
            <w:r w:rsidRPr="00D14DFF">
              <w:rPr>
                <w:rFonts w:ascii="Times New Roman" w:hAnsi="Times New Roman" w:cs="Times New Roman"/>
              </w:rPr>
              <w:br/>
              <w:t>в 2019 году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(без НДС),</w:t>
            </w:r>
            <w:r w:rsidRPr="00D14DFF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2026FA" w:rsidRPr="00D14DFF" w:rsidTr="0058684A">
        <w:trPr>
          <w:cantSplit/>
          <w:trHeight w:val="66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D14DFF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D14DFF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D14DFF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в районе дома 48 по улице Карла Маркса  (гаражный бокс № 1)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28.03.2019,</w:t>
            </w:r>
          </w:p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единовременно,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772,4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482,5</w:t>
            </w:r>
          </w:p>
        </w:tc>
      </w:tr>
      <w:tr w:rsidR="002026FA" w:rsidRPr="00F55F6D" w:rsidTr="0058684A">
        <w:trPr>
          <w:cantSplit/>
          <w:trHeight w:val="66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дома 48 по улице Карла Маркса (гаражный бокс № 2)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28.03.2019,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772,4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</w:tr>
      <w:tr w:rsidR="002026FA" w:rsidRPr="00F55F6D" w:rsidTr="0058684A">
        <w:trPr>
          <w:cantSplit/>
          <w:trHeight w:val="66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дома 48 по улице Карла Маркса  (гаражный бокс № 3)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28.03.2019,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772,4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</w:tr>
      <w:tr w:rsidR="002026FA" w:rsidRPr="00F55F6D" w:rsidTr="0058684A">
        <w:trPr>
          <w:cantSplit/>
          <w:trHeight w:val="66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дома 48 по улице Карла Маркса  (гаражный бокс № 4)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28.03.2019,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772,4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</w:tr>
      <w:tr w:rsidR="002026FA" w:rsidRPr="00F55F6D" w:rsidTr="0058684A">
        <w:trPr>
          <w:cantSplit/>
          <w:trHeight w:val="66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проезда Песчаного, квартал 83 (гаражный бокс № 3)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08.04.2019, 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204,2</w:t>
            </w:r>
          </w:p>
        </w:tc>
      </w:tr>
      <w:tr w:rsidR="002026FA" w:rsidRPr="00F55F6D" w:rsidTr="0058684A">
        <w:trPr>
          <w:cantSplit/>
          <w:trHeight w:val="1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проезда Песчаного, квартал 83 (гаражный бокс № 2)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08.07.2019, 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торги 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241,7</w:t>
            </w:r>
          </w:p>
        </w:tc>
      </w:tr>
      <w:tr w:rsidR="002026FA" w:rsidRPr="00F55F6D" w:rsidTr="0058684A">
        <w:trPr>
          <w:cantSplit/>
          <w:trHeight w:val="1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проезда Песчаного, квартал 83 (гаражный бокс № 11)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08.07.2019, 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торги 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115,8</w:t>
            </w:r>
          </w:p>
        </w:tc>
      </w:tr>
      <w:tr w:rsidR="002026FA" w:rsidRPr="00F55F6D" w:rsidTr="0058684A">
        <w:trPr>
          <w:cantSplit/>
          <w:trHeight w:val="1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проезда Песчаного, квартал 83 (гаражный бокс № 8)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09.07.2019, 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торги посредством публичного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5F6D">
              <w:rPr>
                <w:rFonts w:ascii="Times New Roman" w:hAnsi="Times New Roman" w:cs="Times New Roman"/>
                <w:bCs/>
              </w:rPr>
              <w:t>170,8</w:t>
            </w:r>
          </w:p>
        </w:tc>
      </w:tr>
      <w:tr w:rsidR="002026FA" w:rsidRPr="00F55F6D" w:rsidTr="0058684A">
        <w:trPr>
          <w:cantSplit/>
          <w:trHeight w:val="1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в районе дома 48 по улице Карла Маркса (гаражный бокс № 5)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09.07.2019,</w:t>
            </w:r>
          </w:p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единовременно, 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772,4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F6D">
              <w:rPr>
                <w:rFonts w:ascii="Times New Roman" w:hAnsi="Times New Roman" w:cs="Times New Roman"/>
              </w:rPr>
              <w:t>482,5</w:t>
            </w:r>
          </w:p>
        </w:tc>
      </w:tr>
      <w:tr w:rsidR="002026FA" w:rsidRPr="00F55F6D" w:rsidTr="0058684A">
        <w:trPr>
          <w:cantSplit/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F55F6D" w:rsidRDefault="002026FA" w:rsidP="00F55F6D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F55F6D" w:rsidRDefault="002026FA" w:rsidP="00F55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F6D">
              <w:rPr>
                <w:rFonts w:ascii="Times New Roman" w:hAnsi="Times New Roman" w:cs="Times New Roman"/>
                <w:b/>
                <w:bCs/>
              </w:rPr>
              <w:t xml:space="preserve">Итого: </w:t>
            </w:r>
          </w:p>
          <w:p w:rsidR="002026FA" w:rsidRPr="00F55F6D" w:rsidRDefault="002026FA" w:rsidP="00605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5F6D">
              <w:rPr>
                <w:rFonts w:ascii="Times New Roman" w:hAnsi="Times New Roman" w:cs="Times New Roman"/>
                <w:b/>
                <w:bCs/>
              </w:rPr>
              <w:t>9</w:t>
            </w:r>
            <w:r w:rsidR="00F55F6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6056FC">
              <w:rPr>
                <w:rFonts w:ascii="Times New Roman" w:hAnsi="Times New Roman" w:cs="Times New Roman"/>
                <w:b/>
                <w:bCs/>
              </w:rPr>
              <w:t>н</w:t>
            </w:r>
            <w:r w:rsidRPr="00F55F6D">
              <w:rPr>
                <w:rFonts w:ascii="Times New Roman" w:hAnsi="Times New Roman" w:cs="Times New Roman"/>
                <w:b/>
                <w:bCs/>
              </w:rPr>
              <w:t>ежилых помещений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F6D">
              <w:rPr>
                <w:rFonts w:ascii="Times New Roman" w:hAnsi="Times New Roman" w:cs="Times New Roman"/>
                <w:b/>
              </w:rPr>
              <w:t>327,6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5F6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F6D">
              <w:rPr>
                <w:rFonts w:ascii="Times New Roman" w:hAnsi="Times New Roman" w:cs="Times New Roman"/>
                <w:b/>
                <w:bCs/>
              </w:rPr>
              <w:t>3 145,0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F6D">
              <w:rPr>
                <w:rFonts w:ascii="Times New Roman" w:hAnsi="Times New Roman" w:cs="Times New Roman"/>
                <w:b/>
                <w:bCs/>
              </w:rPr>
              <w:t>3 862,0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F55F6D" w:rsidRDefault="002026FA" w:rsidP="00F5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F6D">
              <w:rPr>
                <w:rFonts w:ascii="Times New Roman" w:hAnsi="Times New Roman" w:cs="Times New Roman"/>
                <w:b/>
                <w:bCs/>
              </w:rPr>
              <w:t>3 145,0</w:t>
            </w:r>
          </w:p>
        </w:tc>
      </w:tr>
    </w:tbl>
    <w:p w:rsidR="002026FA" w:rsidRPr="00D14DFF" w:rsidRDefault="002026FA" w:rsidP="002026FA">
      <w:pPr>
        <w:ind w:firstLine="709"/>
        <w:jc w:val="both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t>2.2. Перечень приватизированного муниципального недвижимого имущества   в соответствии с Федеральным законом от 22.07.2008 № 159-ФЗ (способ приватизации – преимущественное право на приобретение арендуемого муниципального имущества) (таблица № 4):</w:t>
      </w:r>
    </w:p>
    <w:p w:rsidR="002026FA" w:rsidRPr="00D14DFF" w:rsidRDefault="002026FA" w:rsidP="002026FA">
      <w:pPr>
        <w:ind w:firstLine="709"/>
        <w:jc w:val="right"/>
        <w:rPr>
          <w:rFonts w:ascii="Times New Roman" w:hAnsi="Times New Roman" w:cs="Times New Roman"/>
        </w:rPr>
      </w:pPr>
      <w:r w:rsidRPr="00D14DFF">
        <w:rPr>
          <w:rFonts w:ascii="Times New Roman" w:hAnsi="Times New Roman" w:cs="Times New Roman"/>
        </w:rPr>
        <w:t>Таблица № 4</w:t>
      </w:r>
    </w:p>
    <w:tbl>
      <w:tblPr>
        <w:tblW w:w="9791" w:type="dxa"/>
        <w:tblInd w:w="98" w:type="dxa"/>
        <w:tblLayout w:type="fixed"/>
        <w:tblLook w:val="0000"/>
      </w:tblPr>
      <w:tblGrid>
        <w:gridCol w:w="577"/>
        <w:gridCol w:w="2552"/>
        <w:gridCol w:w="1134"/>
        <w:gridCol w:w="1559"/>
        <w:gridCol w:w="1276"/>
        <w:gridCol w:w="1134"/>
        <w:gridCol w:w="1559"/>
        <w:tblGridChange w:id="5">
          <w:tblGrid>
            <w:gridCol w:w="577"/>
            <w:gridCol w:w="2552"/>
            <w:gridCol w:w="1134"/>
            <w:gridCol w:w="1559"/>
            <w:gridCol w:w="1276"/>
            <w:gridCol w:w="1134"/>
            <w:gridCol w:w="1559"/>
          </w:tblGrid>
        </w:tblGridChange>
      </w:tblGrid>
      <w:tr w:rsidR="002026FA" w:rsidRPr="00D14DFF" w:rsidTr="00694A5D">
        <w:trPr>
          <w:cantSplit/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D14DFF" w:rsidRDefault="002026FA" w:rsidP="00517B27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№</w:t>
            </w:r>
          </w:p>
          <w:p w:rsidR="002026FA" w:rsidRPr="00D14DFF" w:rsidRDefault="002026FA" w:rsidP="00517B27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D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4DFF">
              <w:rPr>
                <w:rFonts w:ascii="Times New Roman" w:hAnsi="Times New Roman" w:cs="Times New Roman"/>
              </w:rPr>
              <w:t>/</w:t>
            </w:r>
            <w:r w:rsidR="008F6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D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Местонахождение</w:t>
            </w:r>
          </w:p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 xml:space="preserve"> муниципального недвижимого имущества (наименование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Площадь,</w:t>
            </w:r>
          </w:p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Период продажи</w:t>
            </w:r>
          </w:p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(дата заключения договора купли-продажи),</w:t>
            </w:r>
          </w:p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порядок оплаты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Цена сделки по договору купли-продажи</w:t>
            </w:r>
            <w:r w:rsidRPr="00D14DFF">
              <w:rPr>
                <w:rFonts w:ascii="Times New Roman" w:hAnsi="Times New Roman" w:cs="Times New Roman"/>
              </w:rPr>
              <w:br/>
              <w:t>(без НДС),</w:t>
            </w:r>
            <w:r w:rsidRPr="00D14DF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8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DFF">
              <w:rPr>
                <w:rFonts w:ascii="Times New Roman" w:hAnsi="Times New Roman" w:cs="Times New Roman"/>
              </w:rPr>
              <w:t>Заплани</w:t>
            </w:r>
            <w:proofErr w:type="spellEnd"/>
            <w:r w:rsidR="00207408">
              <w:rPr>
                <w:rFonts w:ascii="Times New Roman" w:hAnsi="Times New Roman" w:cs="Times New Roman"/>
              </w:rPr>
              <w:t>-</w:t>
            </w:r>
          </w:p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DFF">
              <w:rPr>
                <w:rFonts w:ascii="Times New Roman" w:hAnsi="Times New Roman" w:cs="Times New Roman"/>
              </w:rPr>
              <w:t>ровано</w:t>
            </w:r>
            <w:proofErr w:type="spellEnd"/>
            <w:r w:rsidRPr="00D14DFF">
              <w:rPr>
                <w:rFonts w:ascii="Times New Roman" w:hAnsi="Times New Roman" w:cs="Times New Roman"/>
              </w:rPr>
              <w:t xml:space="preserve"> к получению в 2019 году</w:t>
            </w:r>
          </w:p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(без НДС),</w:t>
            </w:r>
            <w:r w:rsidRPr="00D14DF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Фактически получено в 2019 году</w:t>
            </w:r>
          </w:p>
          <w:p w:rsidR="002026FA" w:rsidRPr="00D14DFF" w:rsidRDefault="002026FA" w:rsidP="00517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FF">
              <w:rPr>
                <w:rFonts w:ascii="Times New Roman" w:hAnsi="Times New Roman" w:cs="Times New Roman"/>
              </w:rPr>
              <w:t>(без НДС),</w:t>
            </w:r>
            <w:r w:rsidRPr="00D14DFF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2026FA" w:rsidRPr="00B21E5A" w:rsidTr="00694A5D">
        <w:trPr>
          <w:cantSplit/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1E5A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Октябрьская, дом 25А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16.01.2019,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рассрочку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1 830,0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262,3</w:t>
            </w:r>
          </w:p>
        </w:tc>
      </w:tr>
      <w:tr w:rsidR="002026FA" w:rsidRPr="00B21E5A" w:rsidTr="00694A5D">
        <w:trPr>
          <w:cantSplit/>
          <w:trHeight w:val="17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проспект Победы, дом 58 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22.01.2019,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286,5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(покупатель воспользовался правом досрочного погашения обязательств по оплате)</w:t>
            </w:r>
          </w:p>
        </w:tc>
      </w:tr>
      <w:tr w:rsidR="002026FA" w:rsidRPr="00B21E5A" w:rsidTr="00694A5D">
        <w:trPr>
          <w:cantSplit/>
          <w:trHeight w:val="17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проспект Труда, дом 1 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24.01.2019, 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338,4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Бойчука, дом 7/5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04.03.2019,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на 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651,3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color w:val="000000"/>
              </w:rPr>
              <w:t>651,3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Серго Орджоникидзе, дом 16А (нежилое здание)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-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1 697,9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28.03.2019,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на 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17 510,0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17 766,4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17 766,4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-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10 748,0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26 495,0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26 495,0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26 495,0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Ленина, д. 39/36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01.04.2019,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24,7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Мира, дом 3А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29.05.2019,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1 346,7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 xml:space="preserve">1 349,6 </w:t>
            </w:r>
            <w:r w:rsidRPr="00B21E5A">
              <w:rPr>
                <w:rFonts w:ascii="Times New Roman" w:hAnsi="Times New Roman" w:cs="Times New Roman"/>
              </w:rPr>
              <w:t>(покупатель воспользовался правом досрочного погашения обязательств по оплате)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Адмирала Нахимова,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д. 3А 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04.06.2019,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41,4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Адмирала Нахимова,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д. 3А 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26.06.2019,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3 006,0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238,2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238,2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Лебедева, д. 10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24.07.2019,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10 235,0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667,0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667,0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Профсоюзная, д. 21 (часть нежилого 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788,9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06.08.2019,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18 520,8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962,3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962,3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Мира, дом 3А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21.08.2019, единовременно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7 489,2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356,6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7 489,2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(арендатор выбрал форму оплаты единов</w:t>
            </w:r>
            <w:r w:rsidR="008F63EF">
              <w:rPr>
                <w:rFonts w:ascii="Times New Roman" w:hAnsi="Times New Roman" w:cs="Times New Roman"/>
                <w:bCs/>
              </w:rPr>
              <w:t>-</w:t>
            </w:r>
            <w:r w:rsidRPr="00B21E5A">
              <w:rPr>
                <w:rFonts w:ascii="Times New Roman" w:hAnsi="Times New Roman" w:cs="Times New Roman"/>
                <w:bCs/>
              </w:rPr>
              <w:t>ременно)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проспект Победы, дом 4 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12.09.2019,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7 405,0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290,3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проспект Беломорский, дом 59 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27.09.2019,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3 560,0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140,7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Индустриальная, дом 62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27.09.2019,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13,9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Южная, дом 20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16.10.2019,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61,4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Советская, дом 50/12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16.10.2019,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1 044,0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 xml:space="preserve">1 048,5 </w:t>
            </w:r>
            <w:r w:rsidRPr="00B21E5A">
              <w:rPr>
                <w:rFonts w:ascii="Times New Roman" w:hAnsi="Times New Roman" w:cs="Times New Roman"/>
              </w:rPr>
              <w:t>(покупатель воспользовался правом досрочного погашения обязательств по оплате)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Ломоносова, дом 41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29.11.2019,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 xml:space="preserve">412,7 </w:t>
            </w:r>
            <w:r w:rsidRPr="00B21E5A">
              <w:rPr>
                <w:rFonts w:ascii="Times New Roman" w:hAnsi="Times New Roman" w:cs="Times New Roman"/>
              </w:rPr>
              <w:t>(покупатель воспользовался правом досрочного погашения обязательств по оплате)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Ломоносова, дом 41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29.11.2019,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Ломоносова, дом 41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29.11.2019,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1 039,0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Лебедева, дом 15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25.12.2019,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5 200,0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 xml:space="preserve">0,0 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</w:rPr>
              <w:t>(первый платеж по графику платежей в январе 2020 года)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Индустриальная, дом 62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25.12.2019,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</w:rPr>
              <w:t>(первый платеж по графику платежей в январе 2020 года)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Карла Маркса, дом 31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31.12.2019,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</w:rPr>
              <w:t>(первый платеж по графику платежей в январе 2020 года)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Ломоносова, дом 41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31.12.2019,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</w:rPr>
              <w:t>(первый платеж по графику платежей в январе 2020 года)</w:t>
            </w:r>
          </w:p>
        </w:tc>
      </w:tr>
      <w:tr w:rsidR="002026FA" w:rsidRPr="00B21E5A" w:rsidTr="00694A5D">
        <w:trPr>
          <w:cantSplit/>
          <w:trHeight w:val="14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улица Индустриальная, дом 62 </w:t>
            </w:r>
          </w:p>
          <w:p w:rsidR="002026FA" w:rsidRPr="00B21E5A" w:rsidRDefault="002026FA" w:rsidP="00B2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31.12.2019,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в рассрочку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на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2 030,0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  <w:bCs/>
              </w:rPr>
              <w:t>0,0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1E5A">
              <w:rPr>
                <w:rFonts w:ascii="Times New Roman" w:hAnsi="Times New Roman" w:cs="Times New Roman"/>
              </w:rPr>
              <w:t>(первый платеж по графику платежей в январе 2020 года)</w:t>
            </w:r>
          </w:p>
        </w:tc>
      </w:tr>
      <w:tr w:rsidR="002026FA" w:rsidRPr="00B21E5A" w:rsidTr="00694A5D">
        <w:trPr>
          <w:cantSplit/>
          <w:trHeight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 xml:space="preserve">Итого: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 xml:space="preserve">24 </w:t>
            </w:r>
            <w:proofErr w:type="gramStart"/>
            <w:r w:rsidRPr="00B21E5A">
              <w:rPr>
                <w:rFonts w:ascii="Times New Roman" w:hAnsi="Times New Roman" w:cs="Times New Roman"/>
                <w:b/>
              </w:rPr>
              <w:t>нежилых</w:t>
            </w:r>
            <w:proofErr w:type="gramEnd"/>
            <w:r w:rsidRPr="00B21E5A">
              <w:rPr>
                <w:rFonts w:ascii="Times New Roman" w:hAnsi="Times New Roman" w:cs="Times New Roman"/>
                <w:b/>
              </w:rPr>
              <w:t xml:space="preserve"> помещения</w:t>
            </w:r>
            <w:r w:rsidRPr="00B21E5A">
              <w:rPr>
                <w:rFonts w:ascii="Times New Roman" w:hAnsi="Times New Roman" w:cs="Times New Roman"/>
                <w:b/>
              </w:rPr>
              <w:br/>
              <w:t>и 1 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E5A">
              <w:rPr>
                <w:rFonts w:ascii="Times New Roman" w:hAnsi="Times New Roman" w:cs="Times New Roman"/>
                <w:b/>
                <w:bCs/>
              </w:rPr>
              <w:t>4 455,5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96 429,7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22 039,0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32 052,3</w:t>
            </w:r>
          </w:p>
        </w:tc>
      </w:tr>
      <w:tr w:rsidR="002026FA" w:rsidRPr="00B21E5A" w:rsidTr="00694A5D">
        <w:trPr>
          <w:cantSplit/>
          <w:trHeight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1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E5A">
              <w:rPr>
                <w:rFonts w:ascii="Times New Roman" w:hAnsi="Times New Roman" w:cs="Times New Roman"/>
                <w:b/>
                <w:bCs/>
              </w:rPr>
              <w:t>10 748,0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26 495,0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26 495,0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1E5A">
              <w:rPr>
                <w:rFonts w:ascii="Times New Roman" w:hAnsi="Times New Roman" w:cs="Times New Roman"/>
                <w:b/>
              </w:rPr>
              <w:t>26 495,0</w:t>
            </w:r>
          </w:p>
        </w:tc>
      </w:tr>
    </w:tbl>
    <w:p w:rsidR="002026FA" w:rsidRPr="00B21E5A" w:rsidRDefault="002026FA" w:rsidP="00B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26FA" w:rsidRPr="00B21E5A" w:rsidRDefault="002026FA" w:rsidP="00B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21E5A">
        <w:rPr>
          <w:rFonts w:ascii="Times New Roman" w:hAnsi="Times New Roman" w:cs="Times New Roman"/>
          <w:b/>
        </w:rPr>
        <w:t>3. Перечень неприватизированных в 2019 году имущественных комплексов муниципальных унитарных предприятий, акций открытых акционерных обществ  и иного муниципального имущества</w:t>
      </w:r>
    </w:p>
    <w:p w:rsidR="002026FA" w:rsidRPr="00B21E5A" w:rsidRDefault="002026FA" w:rsidP="00B21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1E5A">
        <w:rPr>
          <w:rFonts w:ascii="Times New Roman" w:hAnsi="Times New Roman" w:cs="Times New Roman"/>
        </w:rPr>
        <w:t>3.1.</w:t>
      </w:r>
      <w:r w:rsidRPr="00B21E5A">
        <w:rPr>
          <w:rFonts w:ascii="Times New Roman" w:hAnsi="Times New Roman" w:cs="Times New Roman"/>
        </w:rPr>
        <w:tab/>
        <w:t xml:space="preserve">Не завершены мероприятия по приватизации 16 объектов недвижимого имущества, комплекса муниципального недвижимого имущества, 15 объектов </w:t>
      </w:r>
      <w:proofErr w:type="spellStart"/>
      <w:r w:rsidRPr="00B21E5A">
        <w:rPr>
          <w:rFonts w:ascii="Times New Roman" w:hAnsi="Times New Roman" w:cs="Times New Roman"/>
        </w:rPr>
        <w:t>электросетевого</w:t>
      </w:r>
      <w:proofErr w:type="spellEnd"/>
      <w:r w:rsidRPr="00B21E5A">
        <w:rPr>
          <w:rFonts w:ascii="Times New Roman" w:hAnsi="Times New Roman" w:cs="Times New Roman"/>
        </w:rPr>
        <w:t xml:space="preserve"> хозяйства (таблица № 5):</w:t>
      </w:r>
    </w:p>
    <w:p w:rsidR="002026FA" w:rsidRPr="00B21E5A" w:rsidRDefault="002026FA" w:rsidP="00B21E5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21E5A">
        <w:rPr>
          <w:rFonts w:ascii="Times New Roman" w:hAnsi="Times New Roman" w:cs="Times New Roman"/>
        </w:rPr>
        <w:t>Таблица № 5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"/>
        <w:gridCol w:w="3970"/>
        <w:gridCol w:w="5103"/>
        <w:tblGridChange w:id="6">
          <w:tblGrid>
            <w:gridCol w:w="576"/>
            <w:gridCol w:w="3970"/>
            <w:gridCol w:w="5103"/>
          </w:tblGrid>
        </w:tblGridChange>
      </w:tblGrid>
      <w:tr w:rsidR="002026FA" w:rsidRPr="00B21E5A" w:rsidTr="006E25FC">
        <w:trPr>
          <w:cantSplit/>
          <w:trHeight w:val="792"/>
        </w:trPr>
        <w:tc>
          <w:tcPr>
            <w:tcW w:w="576" w:type="dxa"/>
            <w:tcBorders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№</w:t>
            </w:r>
          </w:p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1E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1E5A">
              <w:rPr>
                <w:rFonts w:ascii="Times New Roman" w:hAnsi="Times New Roman" w:cs="Times New Roman"/>
              </w:rPr>
              <w:t>/</w:t>
            </w:r>
            <w:proofErr w:type="spellStart"/>
            <w:r w:rsidRPr="00B21E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Местонахождение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 муниципального недвижимого имущества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Мероприятия по приватизации объектов</w:t>
            </w:r>
          </w:p>
        </w:tc>
      </w:tr>
      <w:tr w:rsidR="002026FA" w:rsidRPr="00B21E5A" w:rsidTr="006E25FC">
        <w:trPr>
          <w:cantSplit/>
          <w:trHeight w:val="77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Город Северодвинск, улица Южная, дом 20 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Помещение передано в аренду (временное пользование) ООО «Издательский центр «Северный рабочий»</w:t>
            </w:r>
          </w:p>
        </w:tc>
      </w:tr>
      <w:tr w:rsidR="002026FA" w:rsidRPr="00B21E5A" w:rsidTr="006E25FC">
        <w:trPr>
          <w:cantSplit/>
          <w:trHeight w:val="70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Город Северодвинск, проспект Морской, дом 87 (нежилое встроенное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19.07.2019,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77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Город Северодвинск, проспект Морской, дом 35 (нежилое встроенное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Помещение передано в аренду (временное пользование) Архангельской региональной общественной организации «Федерация восточного танца Поморья».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12.07.2019,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89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Героев Североморцев, дом 10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 общей</w:t>
            </w:r>
            <w:r w:rsidRPr="00B21E5A">
              <w:rPr>
                <w:rFonts w:ascii="Times New Roman" w:hAnsi="Times New Roman" w:cs="Times New Roman"/>
              </w:rPr>
              <w:br/>
              <w:t>площадью 113,1 кв. м)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12.07.2019,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6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проезд Машиностроителей, дом 24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12.07.2019,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73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Ломоносова, дом 104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19.07.2019,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82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Героев Североморцев, дом 10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 общей</w:t>
            </w:r>
            <w:r w:rsidRPr="00B21E5A">
              <w:rPr>
                <w:rFonts w:ascii="Times New Roman" w:hAnsi="Times New Roman" w:cs="Times New Roman"/>
              </w:rPr>
              <w:br/>
              <w:t>площадью 178,1 кв. м)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12.07.2019,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70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Hlk35273702"/>
            <w:r w:rsidRPr="00B21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Ломоносова, дом 47В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Здание передано в аренду (временное пользование)            ОАО «</w:t>
            </w:r>
            <w:proofErr w:type="gramStart"/>
            <w:r w:rsidRPr="00B21E5A">
              <w:rPr>
                <w:rFonts w:ascii="Times New Roman" w:hAnsi="Times New Roman" w:cs="Times New Roman"/>
              </w:rPr>
              <w:t>Северодвинский</w:t>
            </w:r>
            <w:proofErr w:type="gramEnd"/>
            <w:r w:rsidRPr="00B2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E5A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B21E5A">
              <w:rPr>
                <w:rFonts w:ascii="Times New Roman" w:hAnsi="Times New Roman" w:cs="Times New Roman"/>
              </w:rPr>
              <w:t>»</w:t>
            </w:r>
          </w:p>
        </w:tc>
      </w:tr>
      <w:bookmarkEnd w:id="7"/>
      <w:tr w:rsidR="002026FA" w:rsidRPr="00B21E5A" w:rsidTr="006E25FC">
        <w:trPr>
          <w:cantSplit/>
          <w:trHeight w:val="10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E5A">
              <w:rPr>
                <w:sz w:val="22"/>
                <w:szCs w:val="22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E5A">
              <w:rPr>
                <w:sz w:val="22"/>
                <w:szCs w:val="22"/>
              </w:rPr>
              <w:t>улица Советская, дом 27А</w:t>
            </w:r>
          </w:p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  <w:r w:rsidRPr="00B21E5A">
              <w:rPr>
                <w:sz w:val="22"/>
                <w:szCs w:val="22"/>
              </w:rPr>
              <w:t>(часть здания)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Часть здания передана в аренду (временное пользование) индивидуальному предпринимателю Ворониной Юлии Александровне.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12.07.2019,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67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10</w:t>
            </w:r>
          </w:p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E5A">
              <w:rPr>
                <w:sz w:val="22"/>
                <w:szCs w:val="22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E5A">
              <w:rPr>
                <w:sz w:val="22"/>
                <w:szCs w:val="22"/>
              </w:rPr>
              <w:t xml:space="preserve">проспект </w:t>
            </w:r>
            <w:proofErr w:type="spellStart"/>
            <w:r w:rsidRPr="00B21E5A">
              <w:rPr>
                <w:sz w:val="22"/>
                <w:szCs w:val="22"/>
              </w:rPr>
              <w:t>Бутомы</w:t>
            </w:r>
            <w:proofErr w:type="spellEnd"/>
            <w:r w:rsidRPr="00B21E5A">
              <w:rPr>
                <w:sz w:val="22"/>
                <w:szCs w:val="22"/>
              </w:rPr>
              <w:t>, дом 2</w:t>
            </w:r>
          </w:p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  <w:r w:rsidRPr="00B21E5A">
              <w:rPr>
                <w:sz w:val="22"/>
                <w:szCs w:val="22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Помещение передано в аренду (временное пользование)    ООО «Новая волна».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12.07.2019,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7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E5A">
              <w:rPr>
                <w:sz w:val="22"/>
                <w:szCs w:val="22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E5A">
              <w:rPr>
                <w:sz w:val="22"/>
                <w:szCs w:val="22"/>
              </w:rPr>
              <w:t>улица Комсомольская, дом 6А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19.07.2019,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10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Город Северодвинск, село Ненокса,</w:t>
            </w:r>
          </w:p>
          <w:p w:rsidR="002026FA" w:rsidRPr="00B21E5A" w:rsidRDefault="002026FA" w:rsidP="00B2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Первомайская, дом 38</w:t>
            </w:r>
          </w:p>
          <w:p w:rsidR="002026FA" w:rsidRPr="00B21E5A" w:rsidRDefault="002026FA" w:rsidP="00B2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(комплекс нежилых зданий с земельным участком)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19.07.2019,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Дзержинского, дом 4</w:t>
            </w:r>
          </w:p>
          <w:p w:rsidR="002026FA" w:rsidRPr="00B21E5A" w:rsidRDefault="002026FA" w:rsidP="00B2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(нежилое помещение)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12.07.2019,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21E5A">
              <w:rPr>
                <w:sz w:val="22"/>
                <w:szCs w:val="22"/>
              </w:rPr>
              <w:t>Город Северодвинск,</w:t>
            </w:r>
          </w:p>
          <w:p w:rsidR="002026FA" w:rsidRPr="00B21E5A" w:rsidRDefault="002026FA" w:rsidP="00B21E5A">
            <w:pPr>
              <w:pStyle w:val="ConsPlusNormal"/>
              <w:ind w:firstLine="0"/>
              <w:rPr>
                <w:sz w:val="22"/>
                <w:szCs w:val="22"/>
                <w:highlight w:val="yellow"/>
              </w:rPr>
            </w:pPr>
            <w:r w:rsidRPr="00B21E5A">
              <w:rPr>
                <w:sz w:val="22"/>
                <w:szCs w:val="22"/>
              </w:rPr>
              <w:t>в районе проезда Песчаного, квартал 83 (гаражный бокс № 10)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Аукционы, назначенные на 05.04.2019 и 18.12.2019,                   не состоялись по причине отсутствия заявок.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Торги посредством публичного предложения, назначенные      на 05.07.2019, не состоялись по причине отсутствия заявок</w:t>
            </w:r>
          </w:p>
        </w:tc>
      </w:tr>
      <w:tr w:rsidR="002026FA" w:rsidRPr="00B21E5A" w:rsidTr="006E25FC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B21E5A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B21E5A">
              <w:rPr>
                <w:rFonts w:ascii="Times New Roman" w:hAnsi="Times New Roman" w:cs="Times New Roman"/>
              </w:rPr>
              <w:t xml:space="preserve"> хозяйства</w:t>
            </w:r>
            <w:r w:rsidRPr="00B21E5A">
              <w:rPr>
                <w:rFonts w:ascii="Times New Roman" w:hAnsi="Times New Roman" w:cs="Times New Roman"/>
              </w:rPr>
              <w:br/>
              <w:t>(15 объектов)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Объекты переданы в аренду (временное пользование)        ПАО «МРСК </w:t>
            </w:r>
            <w:proofErr w:type="spellStart"/>
            <w:r w:rsidRPr="00B21E5A">
              <w:rPr>
                <w:rFonts w:ascii="Times New Roman" w:hAnsi="Times New Roman" w:cs="Times New Roman"/>
              </w:rPr>
              <w:t>Северо-Запада</w:t>
            </w:r>
            <w:proofErr w:type="spellEnd"/>
            <w:r w:rsidRPr="00B21E5A">
              <w:rPr>
                <w:rFonts w:ascii="Times New Roman" w:hAnsi="Times New Roman" w:cs="Times New Roman"/>
              </w:rPr>
              <w:t xml:space="preserve">».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Проводились мероприятия во исполнение условий, предусмотренных пунктом 1 статьи 30.1 Федерального закона от 21.12.2001 № 178-ФЗ «О приватизации государственного    и муниципального имущества», в части обременения объектов </w:t>
            </w:r>
            <w:proofErr w:type="spellStart"/>
            <w:r w:rsidRPr="00B21E5A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B21E5A">
              <w:rPr>
                <w:rFonts w:ascii="Times New Roman" w:hAnsi="Times New Roman" w:cs="Times New Roman"/>
              </w:rPr>
              <w:t xml:space="preserve"> хозяйства инвестиционными обязательствами</w:t>
            </w:r>
          </w:p>
        </w:tc>
      </w:tr>
      <w:tr w:rsidR="002026FA" w:rsidRPr="00B21E5A" w:rsidTr="006E25FC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Корабельная, дом 3, строение 1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Здание передано в аренду (временное пользование)               АО «НИПТБ «Онега».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Аукционы, назначенные на 26.04.2019 и 19.07.2019,                не состоялись по причине отсутствия заявок</w:t>
            </w:r>
          </w:p>
        </w:tc>
      </w:tr>
      <w:tr w:rsidR="002026FA" w:rsidRPr="00B21E5A" w:rsidTr="006E25FC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улица Железнодорожная, дом 13, строение 1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2019 году проводились мероприятия по формированию земельного участка, на котором расположено нежилое здание, и постановке его не кадастровый учет.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18.12.2019, не состоялся по причине отсутствия заявок</w:t>
            </w:r>
          </w:p>
        </w:tc>
      </w:tr>
      <w:tr w:rsidR="002026FA" w:rsidRPr="00B21E5A" w:rsidTr="006E25FC">
        <w:trPr>
          <w:cantSplit/>
          <w:trHeight w:val="1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026FA" w:rsidRPr="00B21E5A" w:rsidRDefault="002026FA" w:rsidP="00B21E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 xml:space="preserve">Город Северодвинск, 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районе дома 23В по улице Железнодорожной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(отдельно стоящее нежилое здание)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E5A">
              <w:rPr>
                <w:rFonts w:ascii="Times New Roman" w:hAnsi="Times New Roman" w:cs="Times New Roman"/>
              </w:rPr>
              <w:t>В 2019 году проводились мероприятия по формированию земельного участка, на котором расположено нежилое здание, и постановке его не кадастровый учет.</w:t>
            </w:r>
          </w:p>
          <w:p w:rsidR="002026FA" w:rsidRPr="00B21E5A" w:rsidRDefault="002026FA" w:rsidP="00B21E5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E5A">
              <w:rPr>
                <w:rFonts w:ascii="Times New Roman" w:hAnsi="Times New Roman" w:cs="Times New Roman"/>
              </w:rPr>
              <w:t>Аукцион, назначенный на 18.12.2019, не состоялся по причине отсутствия заявок</w:t>
            </w:r>
          </w:p>
        </w:tc>
      </w:tr>
    </w:tbl>
    <w:p w:rsidR="002026FA" w:rsidRPr="00B21E5A" w:rsidRDefault="002026FA" w:rsidP="00B21E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26FA" w:rsidRPr="00B21E5A" w:rsidRDefault="002026FA" w:rsidP="002026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5A">
        <w:rPr>
          <w:rFonts w:ascii="Times New Roman" w:hAnsi="Times New Roman" w:cs="Times New Roman"/>
          <w:sz w:val="24"/>
          <w:szCs w:val="24"/>
        </w:rPr>
        <w:t>Основной причиной, по которой приватизация по объектам муниципального имущества, указанным в таблице № 5, не завершена, является низкий покупательский спрос либо его отсутствие на объекты муниципальной собственности.</w:t>
      </w:r>
    </w:p>
    <w:p w:rsidR="002026FA" w:rsidRPr="00B21E5A" w:rsidRDefault="002026FA" w:rsidP="002026FA">
      <w:pPr>
        <w:rPr>
          <w:rFonts w:ascii="Times New Roman" w:hAnsi="Times New Roman" w:cs="Times New Roman"/>
          <w:sz w:val="24"/>
          <w:szCs w:val="24"/>
        </w:rPr>
      </w:pPr>
    </w:p>
    <w:p w:rsidR="00B06389" w:rsidRPr="00B21E5A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389" w:rsidRPr="00B21E5A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41592"/>
    <w:rsid w:val="001576AE"/>
    <w:rsid w:val="001B1CF5"/>
    <w:rsid w:val="001B45FE"/>
    <w:rsid w:val="002026FA"/>
    <w:rsid w:val="00207408"/>
    <w:rsid w:val="00212CC5"/>
    <w:rsid w:val="00231420"/>
    <w:rsid w:val="002D3804"/>
    <w:rsid w:val="002E313A"/>
    <w:rsid w:val="002F2349"/>
    <w:rsid w:val="00353732"/>
    <w:rsid w:val="003928BD"/>
    <w:rsid w:val="00465A61"/>
    <w:rsid w:val="004B5270"/>
    <w:rsid w:val="004E3AE3"/>
    <w:rsid w:val="00505460"/>
    <w:rsid w:val="00517B27"/>
    <w:rsid w:val="00537E2C"/>
    <w:rsid w:val="00543EF5"/>
    <w:rsid w:val="0058684A"/>
    <w:rsid w:val="005B3BD2"/>
    <w:rsid w:val="005D168D"/>
    <w:rsid w:val="006056FC"/>
    <w:rsid w:val="00652C19"/>
    <w:rsid w:val="00694A5D"/>
    <w:rsid w:val="00777478"/>
    <w:rsid w:val="007F75BC"/>
    <w:rsid w:val="00822D53"/>
    <w:rsid w:val="00857AD6"/>
    <w:rsid w:val="008A5D6A"/>
    <w:rsid w:val="008F63EF"/>
    <w:rsid w:val="009E29B6"/>
    <w:rsid w:val="00A15C21"/>
    <w:rsid w:val="00A30350"/>
    <w:rsid w:val="00A516A2"/>
    <w:rsid w:val="00AE7D20"/>
    <w:rsid w:val="00AF6235"/>
    <w:rsid w:val="00B006B9"/>
    <w:rsid w:val="00B06389"/>
    <w:rsid w:val="00B06847"/>
    <w:rsid w:val="00B070B6"/>
    <w:rsid w:val="00B21E5A"/>
    <w:rsid w:val="00B918AD"/>
    <w:rsid w:val="00C164F4"/>
    <w:rsid w:val="00C72154"/>
    <w:rsid w:val="00D43D4D"/>
    <w:rsid w:val="00DB2E58"/>
    <w:rsid w:val="00DF32B0"/>
    <w:rsid w:val="00DF737C"/>
    <w:rsid w:val="00E34C73"/>
    <w:rsid w:val="00EC1E6D"/>
    <w:rsid w:val="00EC67FD"/>
    <w:rsid w:val="00F55F6D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7A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AD6"/>
  </w:style>
  <w:style w:type="paragraph" w:customStyle="1" w:styleId="BodyText2">
    <w:name w:val="Body Text 2"/>
    <w:basedOn w:val="a"/>
    <w:rsid w:val="002026F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02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26F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17</cp:revision>
  <dcterms:created xsi:type="dcterms:W3CDTF">2020-04-23T11:02:00Z</dcterms:created>
  <dcterms:modified xsi:type="dcterms:W3CDTF">2020-04-23T11:28:00Z</dcterms:modified>
</cp:coreProperties>
</file>