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Северодвинска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31.12.2015 № 654-па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15.12.2020) 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порядков предоставления субсидий </w:t>
      </w:r>
      <w:r w:rsidR="004C4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</w:t>
      </w:r>
    </w:p>
    <w:p w:rsidR="00A82067" w:rsidRDefault="00835114">
      <w:pPr>
        <w:pStyle w:val="ab"/>
        <w:tabs>
          <w:tab w:val="left" w:pos="8768"/>
        </w:tabs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309D7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FE594D" w:rsidRDefault="004B68F1" w:rsidP="004B68F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114">
        <w:rPr>
          <w:sz w:val="28"/>
          <w:szCs w:val="28"/>
        </w:rPr>
        <w:t xml:space="preserve">Внести в постановление Администрации Северодвинска от 31.12.2015 № 654-па «Об утверждении порядков предоставления субсидий на поддержку субъектов малого и среднего предпринимательства» (в редакции от 15.12.2020) </w:t>
      </w:r>
      <w:r w:rsidR="00FE594D">
        <w:rPr>
          <w:sz w:val="28"/>
          <w:szCs w:val="28"/>
        </w:rPr>
        <w:t>следующие изменения:</w:t>
      </w:r>
    </w:p>
    <w:p w:rsidR="00FE594D" w:rsidRDefault="00FE594D" w:rsidP="00FE594D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пункт 1.1 изложить в следующей редакции:</w:t>
      </w:r>
    </w:p>
    <w:p w:rsidR="00FE594D" w:rsidRDefault="00FE594D" w:rsidP="00FE5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09D7">
        <w:rPr>
          <w:sz w:val="28"/>
          <w:szCs w:val="28"/>
        </w:rPr>
        <w:t xml:space="preserve">1.1. </w:t>
      </w:r>
      <w:r>
        <w:rPr>
          <w:sz w:val="28"/>
          <w:szCs w:val="28"/>
        </w:rPr>
        <w:t>Порядок предоставления субсидий субъектам малого и среднего предпринимательства на компенсацию затрат в 2021 году</w:t>
      </w:r>
      <w:r w:rsidR="00F2296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82067" w:rsidRDefault="00FE594D" w:rsidP="00FE59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1.3 </w:t>
      </w:r>
      <w:r w:rsidR="00835114">
        <w:rPr>
          <w:sz w:val="28"/>
          <w:szCs w:val="28"/>
        </w:rPr>
        <w:t>призна</w:t>
      </w:r>
      <w:r w:rsidR="001309D7">
        <w:rPr>
          <w:sz w:val="28"/>
          <w:szCs w:val="28"/>
        </w:rPr>
        <w:t>ть</w:t>
      </w:r>
      <w:r w:rsidR="00835114">
        <w:rPr>
          <w:sz w:val="28"/>
          <w:szCs w:val="28"/>
        </w:rPr>
        <w:t xml:space="preserve"> утратившим силу</w:t>
      </w:r>
      <w:r w:rsidR="00F2296B">
        <w:rPr>
          <w:sz w:val="28"/>
          <w:szCs w:val="28"/>
        </w:rPr>
        <w:t>;</w:t>
      </w:r>
    </w:p>
    <w:p w:rsidR="00A82067" w:rsidRDefault="00130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5114" w:rsidRPr="001309D7">
        <w:rPr>
          <w:sz w:val="28"/>
          <w:szCs w:val="28"/>
        </w:rPr>
        <w:t>в Порядк</w:t>
      </w:r>
      <w:r>
        <w:rPr>
          <w:sz w:val="28"/>
          <w:szCs w:val="28"/>
        </w:rPr>
        <w:t>е</w:t>
      </w:r>
      <w:r w:rsidR="00835114" w:rsidRPr="001309D7">
        <w:rPr>
          <w:sz w:val="28"/>
          <w:szCs w:val="28"/>
        </w:rPr>
        <w:t xml:space="preserve"> предоставления субсидий субъектам малого</w:t>
      </w:r>
      <w:r>
        <w:rPr>
          <w:sz w:val="28"/>
          <w:szCs w:val="28"/>
        </w:rPr>
        <w:t xml:space="preserve"> </w:t>
      </w:r>
      <w:r w:rsidR="00835114" w:rsidRPr="001309D7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835114" w:rsidRPr="001309D7">
        <w:rPr>
          <w:sz w:val="28"/>
          <w:szCs w:val="28"/>
        </w:rPr>
        <w:t xml:space="preserve">реднего предпринимательства на компенсацию затрат </w:t>
      </w:r>
      <w:r w:rsidR="00835114">
        <w:rPr>
          <w:sz w:val="28"/>
          <w:szCs w:val="28"/>
        </w:rPr>
        <w:t>наименование Порядка изложить в следующей редакции:</w:t>
      </w:r>
    </w:p>
    <w:p w:rsidR="00A82067" w:rsidRDefault="008351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субсидий субъектам малого и среднего предпринимательства на компенсацию затрат в 2021 году»;</w:t>
      </w:r>
    </w:p>
    <w:p w:rsidR="00B255FF" w:rsidRDefault="00B255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B255FF" w:rsidRDefault="00B255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55FF">
        <w:rPr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Интернет (далее – единый портал) в течение 7 рабочих дней после принятия соответствующего решения (в соответствии с письмом Министерства финансов Российской Федерации от 30.12.2020                          № 09-01-10/116525 возможность размещения на едином портале </w:t>
      </w:r>
      <w:r w:rsidRPr="00B255FF">
        <w:rPr>
          <w:sz w:val="28"/>
          <w:szCs w:val="28"/>
        </w:rPr>
        <w:lastRenderedPageBreak/>
        <w:t xml:space="preserve">соответствующей информации планируется реализовываться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до 01.10.2021).</w:t>
      </w:r>
      <w:r>
        <w:rPr>
          <w:sz w:val="28"/>
          <w:szCs w:val="28"/>
        </w:rPr>
        <w:t>»;</w:t>
      </w:r>
    </w:p>
    <w:p w:rsidR="00A82067" w:rsidRDefault="00835114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 xml:space="preserve">подпункт 16 пункта 19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20"/>
        <w:jc w:val="both"/>
      </w:pPr>
      <w:r>
        <w:rPr>
          <w:sz w:val="28"/>
          <w:szCs w:val="28"/>
        </w:rPr>
        <w:t xml:space="preserve">«16) здравоохранение и предоставление социальных услуг (подклассы 86.1, 86.21, 86.22, 86.9, классы 87, 88);»; </w:t>
      </w:r>
    </w:p>
    <w:p w:rsidR="00A82067" w:rsidRDefault="00835114">
      <w:pPr>
        <w:autoSpaceDE w:val="0"/>
        <w:ind w:firstLine="709"/>
        <w:jc w:val="both"/>
      </w:pPr>
      <w:r>
        <w:rPr>
          <w:sz w:val="28"/>
          <w:szCs w:val="28"/>
        </w:rPr>
        <w:t xml:space="preserve">абзац первый пункта 20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 Получателям предоставляется субсидия на компенсацию затрат, произведенных в период с 1 ноября 2020 года по 31 октября 2021 года,               а именно:»;</w:t>
      </w:r>
    </w:p>
    <w:p w:rsidR="00B255FF" w:rsidRDefault="00B255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подпункта 1 пункта 21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</w:t>
      </w:r>
      <w:r w:rsidR="00062BF1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B255FF" w:rsidRPr="00B255FF" w:rsidRDefault="00B255FF" w:rsidP="00B255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B255FF">
        <w:rPr>
          <w:sz w:val="28"/>
          <w:szCs w:val="28"/>
        </w:rPr>
        <w:t xml:space="preserve">в срок не позднее 10 рабочих дней до начала проведения конкурсного отбора размещает на едином портале (в соответствии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с письмом Министерства финансов Российской Федерации от 30.12.2020                          № 09-01-10/116525 возможность размещения на едином портале соответствующей информации планируется реализовываться до 01.10.2021)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и официальном интернет-сайте Администрации Северодвинска по адресу: www.severodvinsk.info следующую информацию</w:t>
      </w:r>
      <w:r w:rsidR="00F2296B">
        <w:rPr>
          <w:sz w:val="28"/>
          <w:szCs w:val="28"/>
        </w:rPr>
        <w:t xml:space="preserve"> </w:t>
      </w:r>
      <w:r w:rsidR="00F2296B" w:rsidRPr="00B255FF">
        <w:rPr>
          <w:sz w:val="28"/>
          <w:szCs w:val="28"/>
        </w:rPr>
        <w:t>о проведении конкурса</w:t>
      </w:r>
      <w:r w:rsidRPr="00B255FF">
        <w:rPr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A82067" w:rsidRDefault="001309D7">
      <w:pPr>
        <w:autoSpaceDE w:val="0"/>
        <w:ind w:firstLine="709"/>
        <w:jc w:val="both"/>
      </w:pPr>
      <w:r>
        <w:rPr>
          <w:sz w:val="28"/>
          <w:szCs w:val="28"/>
        </w:rPr>
        <w:t>п</w:t>
      </w:r>
      <w:r w:rsidR="00835114">
        <w:rPr>
          <w:sz w:val="28"/>
          <w:szCs w:val="28"/>
        </w:rPr>
        <w:t xml:space="preserve">ункт 22 раздела </w:t>
      </w:r>
      <w:r w:rsidR="00835114">
        <w:rPr>
          <w:sz w:val="28"/>
          <w:szCs w:val="28"/>
          <w:lang w:val="en-US"/>
        </w:rPr>
        <w:t>IV</w:t>
      </w:r>
      <w:r w:rsidR="00835114"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09"/>
        <w:jc w:val="both"/>
      </w:pPr>
      <w:r>
        <w:rPr>
          <w:sz w:val="28"/>
          <w:szCs w:val="28"/>
        </w:rPr>
        <w:t>«22. Предоставление субсидии на компенсацию затрат осуществляется в порядке очередности поступления полного комплекта документов, предусмотренного настоящим Порядком.</w:t>
      </w:r>
    </w:p>
    <w:p w:rsidR="00A82067" w:rsidRDefault="008351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размера требуемой по всем заявкам компенсации над объемом средств, выделяемых на эти цели из местного бюджета Северодвинска, компенсация предоставляется получателям, имеющим статус резидентов </w:t>
      </w:r>
      <w:r w:rsidR="004576EA">
        <w:rPr>
          <w:sz w:val="28"/>
          <w:szCs w:val="28"/>
        </w:rPr>
        <w:t>А</w:t>
      </w:r>
      <w:r>
        <w:rPr>
          <w:sz w:val="28"/>
          <w:szCs w:val="28"/>
        </w:rPr>
        <w:t>рктичес</w:t>
      </w:r>
      <w:r w:rsidR="00AA7295">
        <w:rPr>
          <w:sz w:val="28"/>
          <w:szCs w:val="28"/>
        </w:rPr>
        <w:t>кой зоны Российской Федерации.</w:t>
      </w:r>
      <w:r w:rsidR="00991070">
        <w:rPr>
          <w:sz w:val="28"/>
          <w:szCs w:val="28"/>
        </w:rPr>
        <w:t xml:space="preserve"> Затем предоставление субсидии на компенсацию затрат осуществляется в порядке очередности поступления документов.</w:t>
      </w:r>
      <w:r w:rsidR="00AA7295">
        <w:rPr>
          <w:sz w:val="28"/>
          <w:szCs w:val="28"/>
        </w:rPr>
        <w:t>»;</w:t>
      </w:r>
    </w:p>
    <w:p w:rsidR="00AA7295" w:rsidRDefault="004B68F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нумерационные заголовки</w:t>
      </w:r>
      <w:r w:rsidR="00AA7295">
        <w:rPr>
          <w:sz w:val="28"/>
          <w:szCs w:val="28"/>
        </w:rPr>
        <w:t xml:space="preserve"> приложений </w:t>
      </w:r>
      <w:r>
        <w:rPr>
          <w:sz w:val="28"/>
          <w:szCs w:val="28"/>
        </w:rPr>
        <w:t xml:space="preserve">№ 1–3 </w:t>
      </w:r>
      <w:r w:rsidR="00AA7295">
        <w:rPr>
          <w:sz w:val="28"/>
          <w:szCs w:val="28"/>
        </w:rPr>
        <w:t>после слов «компенсация затрат» дополнить словами «в 2021 году»;</w:t>
      </w:r>
    </w:p>
    <w:p w:rsidR="00C228C0" w:rsidRDefault="00C228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4 </w:t>
      </w:r>
      <w:r w:rsidR="004B68F1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</w:t>
      </w:r>
      <w:r w:rsidR="004B68F1">
        <w:rPr>
          <w:sz w:val="28"/>
          <w:szCs w:val="28"/>
        </w:rPr>
        <w:t xml:space="preserve">Информации о субъекте малого и среднего предпринимательства и проведенном мероприятии </w:t>
      </w:r>
      <w:r w:rsidR="00F2296B">
        <w:rPr>
          <w:sz w:val="28"/>
          <w:szCs w:val="28"/>
        </w:rPr>
        <w:t>п</w:t>
      </w:r>
      <w:r>
        <w:rPr>
          <w:sz w:val="28"/>
          <w:szCs w:val="28"/>
        </w:rPr>
        <w:t>риложения № 2 слова «Ф.И.О.»</w:t>
      </w:r>
      <w:r w:rsidR="004B68F1">
        <w:rPr>
          <w:sz w:val="28"/>
          <w:szCs w:val="28"/>
        </w:rPr>
        <w:t xml:space="preserve"> заменить </w:t>
      </w:r>
      <w:r w:rsidR="00C87D6B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«фамилии, имени, отчества (при наличии)».</w:t>
      </w:r>
    </w:p>
    <w:p w:rsidR="00A82067" w:rsidRDefault="004B68F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114">
        <w:rPr>
          <w:sz w:val="28"/>
          <w:szCs w:val="28"/>
        </w:rPr>
        <w:t>. </w:t>
      </w:r>
      <w:r w:rsidR="00FB6766" w:rsidRPr="00FB6766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7295" w:rsidRDefault="003D7E3B" w:rsidP="00AA7295">
      <w:pPr>
        <w:rPr>
          <w:sz w:val="28"/>
          <w:szCs w:val="28"/>
        </w:rPr>
        <w:sectPr w:rsidR="00AA7295">
          <w:headerReference w:type="default" r:id="rId9"/>
          <w:headerReference w:type="first" r:id="rId10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835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5114">
        <w:rPr>
          <w:sz w:val="28"/>
          <w:szCs w:val="28"/>
        </w:rPr>
        <w:t xml:space="preserve">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О.В. Бачериков</w:t>
      </w:r>
    </w:p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A7295" w:rsidRDefault="00AA7295" w:rsidP="00AA7295"/>
    <w:p w:rsidR="00A82067" w:rsidRDefault="00835114" w:rsidP="00AA7295">
      <w:r>
        <w:t>Чецкая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9" w:rsidRDefault="00321089">
      <w:r>
        <w:separator/>
      </w:r>
    </w:p>
  </w:endnote>
  <w:endnote w:type="continuationSeparator" w:id="0">
    <w:p w:rsidR="00321089" w:rsidRDefault="0032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9" w:rsidRDefault="00321089">
      <w:r>
        <w:separator/>
      </w:r>
    </w:p>
  </w:footnote>
  <w:footnote w:type="continuationSeparator" w:id="0">
    <w:p w:rsidR="00321089" w:rsidRDefault="0032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E3E8B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2">
    <w:nsid w:val="775C4A9E"/>
    <w:multiLevelType w:val="hybridMultilevel"/>
    <w:tmpl w:val="D97AAD70"/>
    <w:lvl w:ilvl="0" w:tplc="5A42176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20FD9"/>
    <w:rsid w:val="00062BF1"/>
    <w:rsid w:val="001309D7"/>
    <w:rsid w:val="001C11E4"/>
    <w:rsid w:val="00321089"/>
    <w:rsid w:val="003D7E3B"/>
    <w:rsid w:val="004576EA"/>
    <w:rsid w:val="004665EE"/>
    <w:rsid w:val="004B68F1"/>
    <w:rsid w:val="004B6AC7"/>
    <w:rsid w:val="004C40A0"/>
    <w:rsid w:val="00526C73"/>
    <w:rsid w:val="006E1137"/>
    <w:rsid w:val="00835114"/>
    <w:rsid w:val="00991070"/>
    <w:rsid w:val="009E3E8B"/>
    <w:rsid w:val="00A82067"/>
    <w:rsid w:val="00AA7295"/>
    <w:rsid w:val="00B255FF"/>
    <w:rsid w:val="00C228C0"/>
    <w:rsid w:val="00C87D6B"/>
    <w:rsid w:val="00E34F0C"/>
    <w:rsid w:val="00E35B5E"/>
    <w:rsid w:val="00F2296B"/>
    <w:rsid w:val="00FB6766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3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3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2021-02-25T11:15:00Z</cp:lastPrinted>
  <dcterms:created xsi:type="dcterms:W3CDTF">2021-05-19T10:00:00Z</dcterms:created>
  <dcterms:modified xsi:type="dcterms:W3CDTF">2021-05-19T10:00:00Z</dcterms:modified>
  <dc:language>en-US</dc:language>
</cp:coreProperties>
</file>